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E2157F" w14:textId="0820DA08" w:rsidR="0030406D" w:rsidRPr="00793C5D" w:rsidRDefault="00D2535E" w:rsidP="00D053C8">
      <w:pPr>
        <w:pStyle w:val="PaperNumber"/>
        <w:keepNext/>
        <w:rPr>
          <w:rFonts w:ascii="Verdana" w:hAnsi="Verdana"/>
        </w:rPr>
      </w:pPr>
      <w:r>
        <w:rPr>
          <w:rFonts w:ascii="Verdana" w:hAnsi="Verdana"/>
        </w:rPr>
        <w:t>SESUG 2022</w:t>
      </w:r>
      <w:r w:rsidR="000E6BCE">
        <w:rPr>
          <w:rFonts w:ascii="Verdana" w:hAnsi="Verdana"/>
        </w:rPr>
        <w:t xml:space="preserve"> </w:t>
      </w:r>
      <w:r w:rsidR="0030406D" w:rsidRPr="00793C5D">
        <w:rPr>
          <w:rFonts w:ascii="Verdana" w:hAnsi="Verdana"/>
        </w:rPr>
        <w:t xml:space="preserve">Paper </w:t>
      </w:r>
      <w:r w:rsidR="003825E3">
        <w:rPr>
          <w:rFonts w:ascii="Verdana" w:hAnsi="Verdana"/>
        </w:rPr>
        <w:t>198</w:t>
      </w:r>
    </w:p>
    <w:p w14:paraId="3D981AB0" w14:textId="72D1CF2B" w:rsidR="002679A7" w:rsidRDefault="002679A7" w:rsidP="007A43C1">
      <w:pPr>
        <w:pStyle w:val="StylePaperAuthorArial"/>
        <w:rPr>
          <w:rFonts w:ascii="Verdana" w:hAnsi="Verdana"/>
          <w:b/>
          <w:bCs/>
          <w:sz w:val="26"/>
        </w:rPr>
      </w:pPr>
      <w:r>
        <w:rPr>
          <w:rFonts w:ascii="Verdana" w:hAnsi="Verdana"/>
          <w:b/>
          <w:bCs/>
          <w:sz w:val="26"/>
        </w:rPr>
        <w:t xml:space="preserve">Invoking Survey Weights to Calculate </w:t>
      </w:r>
      <w:r w:rsidRPr="002679A7">
        <w:rPr>
          <w:rFonts w:ascii="Verdana" w:hAnsi="Verdana"/>
          <w:b/>
          <w:bCs/>
          <w:sz w:val="26"/>
        </w:rPr>
        <w:t xml:space="preserve">Bayes' Factor </w:t>
      </w:r>
      <w:r w:rsidR="001A2693">
        <w:rPr>
          <w:rFonts w:ascii="Verdana" w:hAnsi="Verdana"/>
          <w:b/>
          <w:bCs/>
          <w:sz w:val="26"/>
        </w:rPr>
        <w:t xml:space="preserve">with PROC MCMC </w:t>
      </w:r>
      <w:r w:rsidR="00BC3556">
        <w:rPr>
          <w:rFonts w:ascii="Verdana" w:hAnsi="Verdana"/>
          <w:b/>
          <w:bCs/>
          <w:sz w:val="26"/>
        </w:rPr>
        <w:t>to</w:t>
      </w:r>
      <w:r w:rsidR="001A2693">
        <w:rPr>
          <w:rFonts w:ascii="Verdana" w:hAnsi="Verdana"/>
          <w:b/>
          <w:bCs/>
          <w:sz w:val="26"/>
        </w:rPr>
        <w:t xml:space="preserve"> Generate More Generalizable Inferences</w:t>
      </w:r>
      <w:r w:rsidRPr="002679A7">
        <w:rPr>
          <w:rFonts w:ascii="Verdana" w:hAnsi="Verdana"/>
          <w:b/>
          <w:bCs/>
          <w:sz w:val="26"/>
        </w:rPr>
        <w:t xml:space="preserve"> </w:t>
      </w:r>
    </w:p>
    <w:p w14:paraId="3E56A9E2" w14:textId="64F246EF" w:rsidR="00F97CE2" w:rsidRDefault="00782DDB" w:rsidP="007A43C1">
      <w:pPr>
        <w:pStyle w:val="StylePaperAuthorArial"/>
        <w:rPr>
          <w:rFonts w:ascii="Verdana" w:hAnsi="Verdana"/>
        </w:rPr>
      </w:pPr>
      <w:r>
        <w:rPr>
          <w:rFonts w:ascii="Verdana" w:hAnsi="Verdana"/>
        </w:rPr>
        <w:t>Tyler Hicks, University of Kansas</w:t>
      </w:r>
      <w:r w:rsidR="006B1664">
        <w:rPr>
          <w:rFonts w:ascii="Verdana" w:hAnsi="Verdana"/>
        </w:rPr>
        <w:t xml:space="preserve">; Graham </w:t>
      </w:r>
      <w:r w:rsidR="00E22B46">
        <w:rPr>
          <w:rFonts w:ascii="Verdana" w:hAnsi="Verdana"/>
        </w:rPr>
        <w:t>G.</w:t>
      </w:r>
      <w:r w:rsidR="006B1664">
        <w:rPr>
          <w:rFonts w:ascii="Verdana" w:hAnsi="Verdana"/>
        </w:rPr>
        <w:t xml:space="preserve"> R</w:t>
      </w:r>
      <w:r w:rsidR="00B21EBB">
        <w:rPr>
          <w:rFonts w:ascii="Verdana" w:hAnsi="Verdana"/>
        </w:rPr>
        <w:t>ifenbark, University of Connecticut</w:t>
      </w:r>
    </w:p>
    <w:p w14:paraId="28892CD0" w14:textId="34D72FEF" w:rsidR="0030406D" w:rsidRPr="00793C5D" w:rsidRDefault="00B16F23" w:rsidP="007A43C1">
      <w:pPr>
        <w:pStyle w:val="StylePaperAuthorArial"/>
        <w:rPr>
          <w:rFonts w:ascii="Verdana" w:hAnsi="Verdana"/>
        </w:rPr>
      </w:pPr>
      <w:r w:rsidRPr="00793C5D">
        <w:rPr>
          <w:rFonts w:ascii="Verdana" w:hAnsi="Verdana"/>
        </w:rPr>
        <w:t xml:space="preserve"> </w:t>
      </w:r>
    </w:p>
    <w:p w14:paraId="34C01E46" w14:textId="5151163C" w:rsidR="0030406D" w:rsidRPr="000B0D18" w:rsidRDefault="0030406D" w:rsidP="00603763">
      <w:pPr>
        <w:pStyle w:val="Heading1"/>
      </w:pPr>
      <w:bookmarkStart w:id="0" w:name="_Toc272756037"/>
      <w:r w:rsidRPr="000B0D18">
        <w:t>A</w:t>
      </w:r>
      <w:r w:rsidR="00A03F21" w:rsidRPr="000B0D18">
        <w:t xml:space="preserve">bstract </w:t>
      </w:r>
      <w:bookmarkEnd w:id="0"/>
    </w:p>
    <w:p w14:paraId="5E8B3E2D" w14:textId="23F2D130" w:rsidR="2DCD9A74" w:rsidRDefault="00217584" w:rsidP="2DCD9A74">
      <w:pPr>
        <w:pStyle w:val="PaperBody"/>
      </w:pPr>
      <w:r w:rsidRPr="00217584">
        <w:rPr>
          <w:rFonts w:eastAsia="Verdana" w:cs="Verdana"/>
        </w:rPr>
        <w:t xml:space="preserve">In many instances, such as the one considered in this paper, </w:t>
      </w:r>
      <w:r w:rsidR="003825E3">
        <w:rPr>
          <w:rFonts w:eastAsia="Verdana" w:cs="Verdana"/>
        </w:rPr>
        <w:t>SAS users</w:t>
      </w:r>
      <w:r w:rsidR="00F00E49">
        <w:rPr>
          <w:rFonts w:eastAsia="Verdana" w:cs="Verdana"/>
        </w:rPr>
        <w:t xml:space="preserve"> </w:t>
      </w:r>
      <w:r w:rsidR="003825E3">
        <w:rPr>
          <w:rFonts w:eastAsia="Verdana" w:cs="Verdana"/>
        </w:rPr>
        <w:t>rely on</w:t>
      </w:r>
      <w:r w:rsidRPr="00217584">
        <w:rPr>
          <w:rFonts w:eastAsia="Verdana" w:cs="Verdana"/>
        </w:rPr>
        <w:t xml:space="preserve"> survey weights to</w:t>
      </w:r>
      <w:r w:rsidR="00F00E49">
        <w:rPr>
          <w:rFonts w:eastAsia="Verdana" w:cs="Verdana"/>
        </w:rPr>
        <w:t xml:space="preserve"> enhance the </w:t>
      </w:r>
      <w:r w:rsidRPr="00217584">
        <w:rPr>
          <w:rFonts w:eastAsia="Verdana" w:cs="Verdana"/>
        </w:rPr>
        <w:t>representative</w:t>
      </w:r>
      <w:r w:rsidR="00F00E49">
        <w:rPr>
          <w:rFonts w:eastAsia="Verdana" w:cs="Verdana"/>
        </w:rPr>
        <w:t>ness of samples</w:t>
      </w:r>
      <w:r w:rsidRPr="00217584">
        <w:rPr>
          <w:rFonts w:eastAsia="Verdana" w:cs="Verdana"/>
        </w:rPr>
        <w:t>. As an example, pollsters</w:t>
      </w:r>
      <w:r>
        <w:rPr>
          <w:rFonts w:eastAsia="Verdana" w:cs="Verdana"/>
        </w:rPr>
        <w:t xml:space="preserve"> </w:t>
      </w:r>
      <w:r w:rsidRPr="00217584">
        <w:rPr>
          <w:rFonts w:eastAsia="Verdana" w:cs="Verdana"/>
        </w:rPr>
        <w:t>use survey weights to better forecast elections</w:t>
      </w:r>
      <w:r w:rsidR="008D6AD3">
        <w:rPr>
          <w:rFonts w:eastAsia="Verdana" w:cs="Verdana"/>
        </w:rPr>
        <w:t xml:space="preserve"> with cheaper samples</w:t>
      </w:r>
      <w:r w:rsidRPr="00217584">
        <w:rPr>
          <w:rFonts w:eastAsia="Verdana" w:cs="Verdana"/>
        </w:rPr>
        <w:t xml:space="preserve">. </w:t>
      </w:r>
      <w:r w:rsidR="003954F5">
        <w:rPr>
          <w:rFonts w:eastAsia="Verdana" w:cs="Verdana"/>
        </w:rPr>
        <w:t>Naturally, s</w:t>
      </w:r>
      <w:r w:rsidRPr="00217584">
        <w:rPr>
          <w:rFonts w:eastAsia="Verdana" w:cs="Verdana"/>
        </w:rPr>
        <w:t xml:space="preserve">urvey weights </w:t>
      </w:r>
      <w:r w:rsidR="001D2A9A">
        <w:rPr>
          <w:rFonts w:eastAsia="Verdana" w:cs="Verdana"/>
        </w:rPr>
        <w:t>are</w:t>
      </w:r>
      <w:r w:rsidRPr="00217584">
        <w:rPr>
          <w:rFonts w:eastAsia="Verdana" w:cs="Verdana"/>
        </w:rPr>
        <w:t xml:space="preserve"> </w:t>
      </w:r>
      <w:r w:rsidR="003825E3">
        <w:rPr>
          <w:rFonts w:eastAsia="Verdana" w:cs="Verdana"/>
        </w:rPr>
        <w:t xml:space="preserve">also very </w:t>
      </w:r>
      <w:r w:rsidRPr="00217584">
        <w:rPr>
          <w:rFonts w:eastAsia="Verdana" w:cs="Verdana"/>
        </w:rPr>
        <w:t xml:space="preserve">relevant when generalizing statistical tests to populations. To </w:t>
      </w:r>
      <w:r w:rsidR="003825E3">
        <w:rPr>
          <w:rFonts w:eastAsia="Verdana" w:cs="Verdana"/>
        </w:rPr>
        <w:t>engage in testing</w:t>
      </w:r>
      <w:r w:rsidRPr="00217584">
        <w:rPr>
          <w:rFonts w:eastAsia="Verdana" w:cs="Verdana"/>
        </w:rPr>
        <w:t xml:space="preserve">, Bayesian </w:t>
      </w:r>
      <w:r w:rsidR="003825E3">
        <w:rPr>
          <w:rFonts w:eastAsia="Verdana" w:cs="Verdana"/>
        </w:rPr>
        <w:t xml:space="preserve">leaning </w:t>
      </w:r>
      <w:r w:rsidRPr="00217584">
        <w:rPr>
          <w:rFonts w:eastAsia="Verdana" w:cs="Verdana"/>
        </w:rPr>
        <w:t>statisticians turn to Bayes' Factor</w:t>
      </w:r>
      <w:r w:rsidR="00193199">
        <w:rPr>
          <w:rFonts w:eastAsia="Verdana" w:cs="Verdana"/>
        </w:rPr>
        <w:t>s</w:t>
      </w:r>
      <w:r w:rsidRPr="00217584">
        <w:rPr>
          <w:rFonts w:eastAsia="Verdana" w:cs="Verdana"/>
        </w:rPr>
        <w:t xml:space="preserve">. The Bayes Factor (BF) quantifies the extent to which data support one </w:t>
      </w:r>
      <w:r w:rsidR="002B62AE">
        <w:rPr>
          <w:rFonts w:eastAsia="Verdana" w:cs="Verdana"/>
        </w:rPr>
        <w:t>model</w:t>
      </w:r>
      <w:r w:rsidR="002B62AE" w:rsidRPr="00217584">
        <w:rPr>
          <w:rFonts w:eastAsia="Verdana" w:cs="Verdana"/>
        </w:rPr>
        <w:t xml:space="preserve"> </w:t>
      </w:r>
      <w:r w:rsidRPr="00217584">
        <w:rPr>
          <w:rFonts w:eastAsia="Verdana" w:cs="Verdana"/>
        </w:rPr>
        <w:t xml:space="preserve">better than another. As an example, BF=5 indicates data support the alternate </w:t>
      </w:r>
      <w:r w:rsidR="002B62AE">
        <w:rPr>
          <w:rFonts w:eastAsia="Verdana" w:cs="Verdana"/>
        </w:rPr>
        <w:t>model f</w:t>
      </w:r>
      <w:r w:rsidRPr="00217584">
        <w:rPr>
          <w:rFonts w:eastAsia="Verdana" w:cs="Verdana"/>
        </w:rPr>
        <w:t>ive times better than the null</w:t>
      </w:r>
      <w:r w:rsidR="002B62AE">
        <w:rPr>
          <w:rFonts w:eastAsia="Verdana" w:cs="Verdana"/>
        </w:rPr>
        <w:t xml:space="preserve"> model</w:t>
      </w:r>
      <w:r w:rsidRPr="00217584">
        <w:rPr>
          <w:rFonts w:eastAsia="Verdana" w:cs="Verdana"/>
        </w:rPr>
        <w:t xml:space="preserve">. Although </w:t>
      </w:r>
      <w:r w:rsidR="009B30C7">
        <w:rPr>
          <w:rFonts w:eastAsia="Verdana" w:cs="Verdana"/>
        </w:rPr>
        <w:t xml:space="preserve">adjusting the BF with </w:t>
      </w:r>
      <w:r w:rsidR="005A7CF1">
        <w:rPr>
          <w:rFonts w:eastAsia="Verdana" w:cs="Verdana"/>
        </w:rPr>
        <w:t xml:space="preserve">sampling weights </w:t>
      </w:r>
      <w:r w:rsidR="009B30C7">
        <w:rPr>
          <w:rFonts w:eastAsia="Verdana" w:cs="Verdana"/>
        </w:rPr>
        <w:t>is no small feat</w:t>
      </w:r>
      <w:r w:rsidRPr="00217584">
        <w:rPr>
          <w:rFonts w:eastAsia="Verdana" w:cs="Verdana"/>
        </w:rPr>
        <w:t xml:space="preserve">, Markov Chain Monte Carlo (MCMC) algorithms enables their successful empirical derivation. Using an example-based approach, this pedagogical paper </w:t>
      </w:r>
      <w:r w:rsidR="006D3694">
        <w:rPr>
          <w:rFonts w:eastAsia="Verdana" w:cs="Verdana"/>
        </w:rPr>
        <w:t xml:space="preserve">shows how SAS users </w:t>
      </w:r>
      <w:r w:rsidR="001A0899">
        <w:rPr>
          <w:rFonts w:eastAsia="Verdana" w:cs="Verdana"/>
        </w:rPr>
        <w:t xml:space="preserve">without extensive technical expertise in Bayesian methods and survey weights </w:t>
      </w:r>
      <w:r w:rsidR="006D3694">
        <w:rPr>
          <w:rFonts w:eastAsia="Verdana" w:cs="Verdana"/>
        </w:rPr>
        <w:t>can</w:t>
      </w:r>
      <w:r w:rsidRPr="00217584">
        <w:rPr>
          <w:rFonts w:eastAsia="Verdana" w:cs="Verdana"/>
        </w:rPr>
        <w:t xml:space="preserve"> </w:t>
      </w:r>
      <w:r w:rsidR="00264C45">
        <w:rPr>
          <w:rFonts w:eastAsia="Verdana" w:cs="Verdana"/>
        </w:rPr>
        <w:t>fit</w:t>
      </w:r>
      <w:r w:rsidRPr="00217584">
        <w:rPr>
          <w:rFonts w:eastAsia="Verdana" w:cs="Verdana"/>
        </w:rPr>
        <w:t xml:space="preserve"> </w:t>
      </w:r>
      <w:r w:rsidR="001A0899">
        <w:rPr>
          <w:rFonts w:eastAsia="Verdana" w:cs="Verdana"/>
        </w:rPr>
        <w:t xml:space="preserve">a </w:t>
      </w:r>
      <w:r w:rsidR="00264C45">
        <w:rPr>
          <w:rFonts w:eastAsia="Verdana" w:cs="Verdana"/>
        </w:rPr>
        <w:t>model</w:t>
      </w:r>
      <w:r w:rsidRPr="00217584">
        <w:rPr>
          <w:rFonts w:eastAsia="Verdana" w:cs="Verdana"/>
        </w:rPr>
        <w:t xml:space="preserve"> </w:t>
      </w:r>
      <w:r w:rsidR="00264C45">
        <w:rPr>
          <w:rFonts w:eastAsia="Verdana" w:cs="Verdana"/>
        </w:rPr>
        <w:t xml:space="preserve">to </w:t>
      </w:r>
      <w:r w:rsidR="00FF4F7D">
        <w:rPr>
          <w:rFonts w:eastAsia="Verdana" w:cs="Verdana"/>
        </w:rPr>
        <w:t xml:space="preserve">recover </w:t>
      </w:r>
      <w:r w:rsidR="00264C45">
        <w:rPr>
          <w:rFonts w:eastAsia="Verdana" w:cs="Verdana"/>
        </w:rPr>
        <w:t xml:space="preserve">BFs </w:t>
      </w:r>
      <w:r w:rsidR="00FF4F7D">
        <w:rPr>
          <w:rFonts w:eastAsia="Verdana" w:cs="Verdana"/>
        </w:rPr>
        <w:t xml:space="preserve">from data </w:t>
      </w:r>
      <w:r w:rsidR="009B30C7">
        <w:rPr>
          <w:rFonts w:eastAsia="Verdana" w:cs="Verdana"/>
        </w:rPr>
        <w:t xml:space="preserve">that </w:t>
      </w:r>
      <w:r w:rsidR="006D3694">
        <w:rPr>
          <w:rFonts w:eastAsia="Verdana" w:cs="Verdana"/>
        </w:rPr>
        <w:t>adjust</w:t>
      </w:r>
      <w:r w:rsidRPr="00217584">
        <w:rPr>
          <w:rFonts w:eastAsia="Verdana" w:cs="Verdana"/>
        </w:rPr>
        <w:t xml:space="preserve"> </w:t>
      </w:r>
      <w:r w:rsidR="00FF4F7D">
        <w:rPr>
          <w:rFonts w:eastAsia="Verdana" w:cs="Verdana"/>
        </w:rPr>
        <w:t xml:space="preserve">for </w:t>
      </w:r>
      <w:r w:rsidRPr="00217584">
        <w:rPr>
          <w:rFonts w:eastAsia="Verdana" w:cs="Verdana"/>
        </w:rPr>
        <w:t>survey weights</w:t>
      </w:r>
      <w:r w:rsidR="006D3694">
        <w:rPr>
          <w:rFonts w:eastAsia="Verdana" w:cs="Verdana"/>
        </w:rPr>
        <w:t xml:space="preserve"> using </w:t>
      </w:r>
      <w:r w:rsidR="00FF4F7D">
        <w:rPr>
          <w:rFonts w:eastAsia="Verdana" w:cs="Verdana"/>
        </w:rPr>
        <w:t xml:space="preserve">in-built functions in the </w:t>
      </w:r>
      <w:r w:rsidR="006D3694" w:rsidRPr="00217584">
        <w:rPr>
          <w:rFonts w:eastAsia="Verdana" w:cs="Verdana"/>
        </w:rPr>
        <w:t>SAS/STAT® MCMC procedure</w:t>
      </w:r>
      <w:r w:rsidRPr="00217584">
        <w:rPr>
          <w:rFonts w:eastAsia="Verdana" w:cs="Verdana"/>
        </w:rPr>
        <w:t xml:space="preserve">. </w:t>
      </w:r>
      <w:r w:rsidR="00FF4F7D">
        <w:rPr>
          <w:rFonts w:eastAsia="Verdana" w:cs="Verdana"/>
        </w:rPr>
        <w:t>This p</w:t>
      </w:r>
      <w:r w:rsidRPr="00217584">
        <w:rPr>
          <w:rFonts w:eastAsia="Verdana" w:cs="Verdana"/>
        </w:rPr>
        <w:t xml:space="preserve">aper </w:t>
      </w:r>
      <w:r w:rsidR="00FF4F7D">
        <w:rPr>
          <w:rFonts w:eastAsia="Verdana" w:cs="Verdana"/>
        </w:rPr>
        <w:t xml:space="preserve">thus helps SAS users </w:t>
      </w:r>
      <w:r w:rsidRPr="00217584">
        <w:rPr>
          <w:rFonts w:eastAsia="Verdana" w:cs="Verdana"/>
        </w:rPr>
        <w:t xml:space="preserve">take the extra step </w:t>
      </w:r>
      <w:r w:rsidR="00596C9A">
        <w:rPr>
          <w:rFonts w:eastAsia="Verdana" w:cs="Verdana"/>
        </w:rPr>
        <w:t>of</w:t>
      </w:r>
      <w:r w:rsidRPr="00217584">
        <w:rPr>
          <w:rFonts w:eastAsia="Verdana" w:cs="Verdana"/>
        </w:rPr>
        <w:t xml:space="preserve"> marshal</w:t>
      </w:r>
      <w:r w:rsidR="00596C9A">
        <w:rPr>
          <w:rFonts w:eastAsia="Verdana" w:cs="Verdana"/>
        </w:rPr>
        <w:t>ing</w:t>
      </w:r>
      <w:r w:rsidRPr="00217584">
        <w:rPr>
          <w:rFonts w:eastAsia="Verdana" w:cs="Verdana"/>
        </w:rPr>
        <w:t xml:space="preserve"> the full power of survey weights in Bayesian testing</w:t>
      </w:r>
      <w:r w:rsidR="00596C9A">
        <w:rPr>
          <w:rFonts w:eastAsia="Verdana" w:cs="Verdana"/>
        </w:rPr>
        <w:t xml:space="preserve"> with PROC MCMC</w:t>
      </w:r>
      <w:r w:rsidRPr="00217584">
        <w:rPr>
          <w:rFonts w:eastAsia="Verdana" w:cs="Verdana"/>
        </w:rPr>
        <w:t>.</w:t>
      </w:r>
    </w:p>
    <w:p w14:paraId="36FB2F29" w14:textId="3EA4229F" w:rsidR="0030406D" w:rsidRPr="000B0D18" w:rsidRDefault="0030406D" w:rsidP="000B0D18">
      <w:pPr>
        <w:pStyle w:val="Heading1"/>
      </w:pPr>
      <w:bookmarkStart w:id="1" w:name="_Toc272756038"/>
      <w:r w:rsidRPr="000B0D18">
        <w:t>I</w:t>
      </w:r>
      <w:r w:rsidR="00A03F21" w:rsidRPr="000B0D18">
        <w:t xml:space="preserve">ntroduction </w:t>
      </w:r>
      <w:bookmarkEnd w:id="1"/>
    </w:p>
    <w:p w14:paraId="14EC4A54" w14:textId="354FE76B" w:rsidR="2DCD9A74" w:rsidRDefault="002E3A7A">
      <w:r>
        <w:rPr>
          <w:rFonts w:ascii="Verdana" w:eastAsia="Verdana" w:hAnsi="Verdana" w:cs="Verdana"/>
          <w:sz w:val="20"/>
          <w:szCs w:val="20"/>
        </w:rPr>
        <w:t xml:space="preserve">Because of the centrality of survey weights in this paper, a brief conceptual introduction is in order. </w:t>
      </w:r>
      <w:r w:rsidR="2DCD9A74" w:rsidRPr="2DCD9A74">
        <w:rPr>
          <w:rFonts w:ascii="Verdana" w:eastAsia="Verdana" w:hAnsi="Verdana" w:cs="Verdana"/>
          <w:sz w:val="20"/>
          <w:szCs w:val="20"/>
        </w:rPr>
        <w:t xml:space="preserve">Broadly speaking, </w:t>
      </w:r>
      <w:r w:rsidR="008A132D">
        <w:rPr>
          <w:rFonts w:ascii="Verdana" w:eastAsia="Verdana" w:hAnsi="Verdana" w:cs="Verdana"/>
          <w:sz w:val="20"/>
          <w:szCs w:val="20"/>
        </w:rPr>
        <w:t xml:space="preserve">random </w:t>
      </w:r>
      <w:r w:rsidR="00A27D11">
        <w:rPr>
          <w:rFonts w:ascii="Verdana" w:eastAsia="Verdana" w:hAnsi="Verdana" w:cs="Verdana"/>
          <w:sz w:val="20"/>
          <w:szCs w:val="20"/>
        </w:rPr>
        <w:t xml:space="preserve">data collection </w:t>
      </w:r>
      <w:r w:rsidR="00DA6632">
        <w:rPr>
          <w:rFonts w:ascii="Verdana" w:eastAsia="Verdana" w:hAnsi="Verdana" w:cs="Verdana"/>
          <w:sz w:val="20"/>
          <w:szCs w:val="20"/>
        </w:rPr>
        <w:t>can be</w:t>
      </w:r>
      <w:r w:rsidR="2DCD9A74" w:rsidRPr="2DCD9A74">
        <w:rPr>
          <w:rFonts w:ascii="Verdana" w:eastAsia="Verdana" w:hAnsi="Verdana" w:cs="Verdana"/>
          <w:sz w:val="20"/>
          <w:szCs w:val="20"/>
        </w:rPr>
        <w:t xml:space="preserve"> executed either by employing </w:t>
      </w:r>
      <w:r w:rsidR="2DCD9A74" w:rsidRPr="2DCD9A74">
        <w:rPr>
          <w:rFonts w:ascii="Verdana" w:eastAsia="Verdana" w:hAnsi="Verdana" w:cs="Verdana"/>
          <w:i/>
          <w:iCs/>
          <w:sz w:val="20"/>
          <w:szCs w:val="20"/>
        </w:rPr>
        <w:t>simple random sampling</w:t>
      </w:r>
      <w:r w:rsidR="2DCD9A74" w:rsidRPr="2DCD9A74">
        <w:rPr>
          <w:rFonts w:ascii="Verdana" w:eastAsia="Verdana" w:hAnsi="Verdana" w:cs="Verdana"/>
          <w:sz w:val="20"/>
          <w:szCs w:val="20"/>
        </w:rPr>
        <w:t xml:space="preserve"> (SRS) or a </w:t>
      </w:r>
      <w:r w:rsidR="2DCD9A74" w:rsidRPr="2DCD9A74">
        <w:rPr>
          <w:rFonts w:ascii="Verdana" w:eastAsia="Verdana" w:hAnsi="Verdana" w:cs="Verdana"/>
          <w:i/>
          <w:iCs/>
          <w:sz w:val="20"/>
          <w:szCs w:val="20"/>
        </w:rPr>
        <w:t>complex sampling design</w:t>
      </w:r>
      <w:r w:rsidR="2DCD9A74" w:rsidRPr="2DCD9A74">
        <w:rPr>
          <w:rFonts w:ascii="Verdana" w:eastAsia="Verdana" w:hAnsi="Verdana" w:cs="Verdana"/>
          <w:sz w:val="20"/>
          <w:szCs w:val="20"/>
        </w:rPr>
        <w:t xml:space="preserve"> (CSD). When estimating statistical models using data stemming from SRS, observations equally contribute to the likelihood function. Therefore, each observation is given a weight of 1 and the sum of weights equal</w:t>
      </w:r>
      <w:r w:rsidR="003825E3">
        <w:rPr>
          <w:rFonts w:ascii="Verdana" w:eastAsia="Verdana" w:hAnsi="Verdana" w:cs="Verdana"/>
          <w:sz w:val="20"/>
          <w:szCs w:val="20"/>
        </w:rPr>
        <w:t>s</w:t>
      </w:r>
      <w:r w:rsidR="2DCD9A74" w:rsidRPr="2DCD9A74">
        <w:rPr>
          <w:rFonts w:ascii="Verdana" w:eastAsia="Verdana" w:hAnsi="Verdana" w:cs="Verdana"/>
          <w:sz w:val="20"/>
          <w:szCs w:val="20"/>
        </w:rPr>
        <w:t xml:space="preserve"> the number of observations used in the analysis. On the other hand, when CSD is used to collect data, it is necessary either </w:t>
      </w:r>
      <w:r w:rsidR="008A132D">
        <w:rPr>
          <w:rFonts w:ascii="Verdana" w:eastAsia="Verdana" w:hAnsi="Verdana" w:cs="Verdana"/>
          <w:sz w:val="20"/>
          <w:szCs w:val="20"/>
        </w:rPr>
        <w:t xml:space="preserve">to </w:t>
      </w:r>
      <w:r w:rsidR="2DCD9A74" w:rsidRPr="2DCD9A74">
        <w:rPr>
          <w:rFonts w:ascii="Verdana" w:eastAsia="Verdana" w:hAnsi="Verdana" w:cs="Verdana"/>
          <w:sz w:val="20"/>
          <w:szCs w:val="20"/>
        </w:rPr>
        <w:t xml:space="preserve">increase or decrease the contribution (or influence) of the observations to the likelihood function so that meaningful inferences can be made about the population of interest. As such, the sum of weights </w:t>
      </w:r>
      <w:r w:rsidR="00DA6632" w:rsidRPr="2DCD9A74">
        <w:rPr>
          <w:rFonts w:ascii="Verdana" w:eastAsia="Verdana" w:hAnsi="Verdana" w:cs="Verdana"/>
          <w:sz w:val="20"/>
          <w:szCs w:val="20"/>
        </w:rPr>
        <w:t>corresponds</w:t>
      </w:r>
      <w:r w:rsidR="2DCD9A74" w:rsidRPr="2DCD9A74">
        <w:rPr>
          <w:rFonts w:ascii="Verdana" w:eastAsia="Verdana" w:hAnsi="Verdana" w:cs="Verdana"/>
          <w:sz w:val="20"/>
          <w:szCs w:val="20"/>
        </w:rPr>
        <w:t xml:space="preserve"> to the population sought after (e.g., population of students with disabilities). That said, there are </w:t>
      </w:r>
      <w:r w:rsidR="00DA6632">
        <w:rPr>
          <w:rFonts w:ascii="Verdana" w:eastAsia="Verdana" w:hAnsi="Verdana" w:cs="Verdana"/>
          <w:sz w:val="20"/>
          <w:szCs w:val="20"/>
        </w:rPr>
        <w:t xml:space="preserve">many </w:t>
      </w:r>
      <w:r w:rsidR="2DCD9A74" w:rsidRPr="2DCD9A74">
        <w:rPr>
          <w:rFonts w:ascii="Verdana" w:eastAsia="Verdana" w:hAnsi="Verdana" w:cs="Verdana"/>
          <w:sz w:val="20"/>
          <w:szCs w:val="20"/>
        </w:rPr>
        <w:t xml:space="preserve">instances in which influence on the likelihood function are not </w:t>
      </w:r>
      <w:r w:rsidR="00C71948">
        <w:rPr>
          <w:rFonts w:ascii="Verdana" w:eastAsia="Verdana" w:hAnsi="Verdana" w:cs="Verdana"/>
          <w:sz w:val="20"/>
          <w:szCs w:val="20"/>
        </w:rPr>
        <w:t xml:space="preserve">assumed </w:t>
      </w:r>
      <w:r w:rsidR="2DCD9A74" w:rsidRPr="2DCD9A74">
        <w:rPr>
          <w:rFonts w:ascii="Verdana" w:eastAsia="Verdana" w:hAnsi="Verdana" w:cs="Verdana"/>
          <w:sz w:val="20"/>
          <w:szCs w:val="20"/>
        </w:rPr>
        <w:t>uniform across observations</w:t>
      </w:r>
      <w:r w:rsidR="003220EC">
        <w:rPr>
          <w:rFonts w:ascii="Verdana" w:eastAsia="Verdana" w:hAnsi="Verdana" w:cs="Verdana"/>
          <w:sz w:val="20"/>
          <w:szCs w:val="20"/>
        </w:rPr>
        <w:t>.</w:t>
      </w:r>
      <w:r w:rsidR="2DCD9A74" w:rsidRPr="2DCD9A74">
        <w:rPr>
          <w:rFonts w:ascii="Verdana" w:eastAsia="Verdana" w:hAnsi="Verdana" w:cs="Verdana"/>
          <w:sz w:val="20"/>
          <w:szCs w:val="20"/>
        </w:rPr>
        <w:t xml:space="preserve"> </w:t>
      </w:r>
      <w:r w:rsidR="0088218A">
        <w:rPr>
          <w:rFonts w:ascii="Verdana" w:eastAsia="Verdana" w:hAnsi="Verdana" w:cs="Verdana"/>
          <w:sz w:val="20"/>
          <w:szCs w:val="20"/>
        </w:rPr>
        <w:t>Take for example</w:t>
      </w:r>
      <w:r w:rsidR="2DCD9A74" w:rsidRPr="2DCD9A74">
        <w:rPr>
          <w:rFonts w:ascii="Verdana" w:eastAsia="Verdana" w:hAnsi="Verdana" w:cs="Verdana"/>
          <w:sz w:val="20"/>
          <w:szCs w:val="20"/>
        </w:rPr>
        <w:t xml:space="preserve"> propensity score weighting in observational or quasi-experimental designs where it is not possible to randomly assign subject to treatment and control conditions.</w:t>
      </w:r>
    </w:p>
    <w:p w14:paraId="3F35BC70" w14:textId="361B6FC3" w:rsidR="2DCD9A74" w:rsidRDefault="2DCD9A74" w:rsidP="2DCD9A74">
      <w:pPr>
        <w:pStyle w:val="PaperBody"/>
      </w:pPr>
    </w:p>
    <w:p w14:paraId="1165AAA7" w14:textId="18C75B2A" w:rsidR="2DCD9A74" w:rsidRDefault="2DCD9A74">
      <w:r w:rsidRPr="2DCD9A74">
        <w:rPr>
          <w:rFonts w:ascii="Verdana" w:eastAsia="Verdana" w:hAnsi="Verdana" w:cs="Verdana"/>
          <w:sz w:val="20"/>
          <w:szCs w:val="20"/>
        </w:rPr>
        <w:t>When evaluating research hypotheses via statistical modeling, analyst</w:t>
      </w:r>
      <w:r w:rsidR="00C71948">
        <w:rPr>
          <w:rFonts w:ascii="Verdana" w:eastAsia="Verdana" w:hAnsi="Verdana" w:cs="Verdana"/>
          <w:sz w:val="20"/>
          <w:szCs w:val="20"/>
        </w:rPr>
        <w:t>s</w:t>
      </w:r>
      <w:r w:rsidRPr="2DCD9A74">
        <w:rPr>
          <w:rFonts w:ascii="Verdana" w:eastAsia="Verdana" w:hAnsi="Verdana" w:cs="Verdana"/>
          <w:sz w:val="20"/>
          <w:szCs w:val="20"/>
        </w:rPr>
        <w:t xml:space="preserve"> can choose between frequentist methods and Bayesian methods, wh</w:t>
      </w:r>
      <w:r w:rsidR="0088218A">
        <w:rPr>
          <w:rFonts w:ascii="Verdana" w:eastAsia="Verdana" w:hAnsi="Verdana" w:cs="Verdana"/>
          <w:sz w:val="20"/>
          <w:szCs w:val="20"/>
        </w:rPr>
        <w:t>ile</w:t>
      </w:r>
      <w:r w:rsidRPr="2DCD9A74">
        <w:rPr>
          <w:rFonts w:ascii="Verdana" w:eastAsia="Verdana" w:hAnsi="Verdana" w:cs="Verdana"/>
          <w:sz w:val="20"/>
          <w:szCs w:val="20"/>
        </w:rPr>
        <w:t xml:space="preserve"> the former has been the most popular approach for conducting analyses</w:t>
      </w:r>
      <w:r w:rsidR="003825E3">
        <w:rPr>
          <w:rFonts w:ascii="Verdana" w:eastAsia="Verdana" w:hAnsi="Verdana" w:cs="Verdana"/>
          <w:sz w:val="20"/>
          <w:szCs w:val="20"/>
        </w:rPr>
        <w:t>,</w:t>
      </w:r>
      <w:r w:rsidRPr="2DCD9A74">
        <w:rPr>
          <w:rFonts w:ascii="Verdana" w:eastAsia="Verdana" w:hAnsi="Verdana" w:cs="Verdana"/>
          <w:sz w:val="20"/>
          <w:szCs w:val="20"/>
        </w:rPr>
        <w:t xml:space="preserve"> Bayesian methods have become increasingly used for conducting </w:t>
      </w:r>
      <w:r w:rsidR="00C71948">
        <w:rPr>
          <w:rFonts w:ascii="Verdana" w:eastAsia="Verdana" w:hAnsi="Verdana" w:cs="Verdana"/>
          <w:sz w:val="20"/>
          <w:szCs w:val="20"/>
        </w:rPr>
        <w:t>data analysis</w:t>
      </w:r>
      <w:r w:rsidRPr="2DCD9A74">
        <w:rPr>
          <w:rFonts w:ascii="Verdana" w:eastAsia="Verdana" w:hAnsi="Verdana" w:cs="Verdana"/>
          <w:sz w:val="20"/>
          <w:szCs w:val="20"/>
        </w:rPr>
        <w:t xml:space="preserve">. Bayesian methods </w:t>
      </w:r>
      <w:r w:rsidR="00A731AC" w:rsidRPr="2DCD9A74">
        <w:rPr>
          <w:rFonts w:ascii="Verdana" w:eastAsia="Verdana" w:hAnsi="Verdana" w:cs="Verdana"/>
          <w:sz w:val="20"/>
          <w:szCs w:val="20"/>
        </w:rPr>
        <w:t>consider</w:t>
      </w:r>
      <w:r w:rsidRPr="2DCD9A74">
        <w:rPr>
          <w:rFonts w:ascii="Verdana" w:eastAsia="Verdana" w:hAnsi="Verdana" w:cs="Verdana"/>
          <w:sz w:val="20"/>
          <w:szCs w:val="20"/>
        </w:rPr>
        <w:t xml:space="preserve"> the likelihood of the data, as do frequentist methods, however, prior knowledge (or beliefs) </w:t>
      </w:r>
      <w:r w:rsidR="003932AC" w:rsidRPr="2DCD9A74">
        <w:rPr>
          <w:rFonts w:ascii="Verdana" w:eastAsia="Verdana" w:hAnsi="Verdana" w:cs="Verdana"/>
          <w:sz w:val="20"/>
          <w:szCs w:val="20"/>
        </w:rPr>
        <w:t>is</w:t>
      </w:r>
      <w:r w:rsidRPr="2DCD9A74">
        <w:rPr>
          <w:rFonts w:ascii="Verdana" w:eastAsia="Verdana" w:hAnsi="Verdana" w:cs="Verdana"/>
          <w:sz w:val="20"/>
          <w:szCs w:val="20"/>
        </w:rPr>
        <w:t xml:space="preserve"> </w:t>
      </w:r>
      <w:r w:rsidR="00C71948">
        <w:rPr>
          <w:rFonts w:ascii="Verdana" w:eastAsia="Verdana" w:hAnsi="Verdana" w:cs="Verdana"/>
          <w:sz w:val="20"/>
          <w:szCs w:val="20"/>
        </w:rPr>
        <w:t xml:space="preserve">also </w:t>
      </w:r>
      <w:r w:rsidRPr="2DCD9A74">
        <w:rPr>
          <w:rFonts w:ascii="Verdana" w:eastAsia="Verdana" w:hAnsi="Verdana" w:cs="Verdana"/>
          <w:sz w:val="20"/>
          <w:szCs w:val="20"/>
        </w:rPr>
        <w:t>incorporated into the</w:t>
      </w:r>
      <w:r w:rsidR="00A731AC">
        <w:rPr>
          <w:rFonts w:ascii="Verdana" w:eastAsia="Verdana" w:hAnsi="Verdana" w:cs="Verdana"/>
          <w:sz w:val="20"/>
          <w:szCs w:val="20"/>
        </w:rPr>
        <w:t>ir inferences</w:t>
      </w:r>
      <w:r w:rsidRPr="2DCD9A74">
        <w:rPr>
          <w:rFonts w:ascii="Verdana" w:eastAsia="Verdana" w:hAnsi="Verdana" w:cs="Verdana"/>
          <w:sz w:val="20"/>
          <w:szCs w:val="20"/>
        </w:rPr>
        <w:t xml:space="preserve">. Ultimately, through simulation, </w:t>
      </w:r>
      <w:r w:rsidR="00D20F18">
        <w:rPr>
          <w:rFonts w:ascii="Verdana" w:eastAsia="Verdana" w:hAnsi="Verdana" w:cs="Verdana"/>
          <w:sz w:val="20"/>
          <w:szCs w:val="20"/>
        </w:rPr>
        <w:t>it is possible to access</w:t>
      </w:r>
      <w:r w:rsidRPr="2DCD9A74">
        <w:rPr>
          <w:rFonts w:ascii="Verdana" w:eastAsia="Verdana" w:hAnsi="Verdana" w:cs="Verdana"/>
          <w:sz w:val="20"/>
          <w:szCs w:val="20"/>
        </w:rPr>
        <w:t xml:space="preserve"> posterior distribution</w:t>
      </w:r>
      <w:r w:rsidR="00D20F18">
        <w:rPr>
          <w:rFonts w:ascii="Verdana" w:eastAsia="Verdana" w:hAnsi="Verdana" w:cs="Verdana"/>
          <w:sz w:val="20"/>
          <w:szCs w:val="20"/>
        </w:rPr>
        <w:t>s</w:t>
      </w:r>
      <w:r w:rsidRPr="2DCD9A74">
        <w:rPr>
          <w:rFonts w:ascii="Verdana" w:eastAsia="Verdana" w:hAnsi="Verdana" w:cs="Verdana"/>
          <w:sz w:val="20"/>
          <w:szCs w:val="20"/>
        </w:rPr>
        <w:t xml:space="preserve"> and use </w:t>
      </w:r>
      <w:r w:rsidR="00D20F18">
        <w:rPr>
          <w:rFonts w:ascii="Verdana" w:eastAsia="Verdana" w:hAnsi="Verdana" w:cs="Verdana"/>
          <w:sz w:val="20"/>
          <w:szCs w:val="20"/>
        </w:rPr>
        <w:t xml:space="preserve">them </w:t>
      </w:r>
      <w:r w:rsidRPr="2DCD9A74">
        <w:rPr>
          <w:rFonts w:ascii="Verdana" w:eastAsia="Verdana" w:hAnsi="Verdana" w:cs="Verdana"/>
          <w:sz w:val="20"/>
          <w:szCs w:val="20"/>
        </w:rPr>
        <w:t xml:space="preserve">to make probabilistic inferences. Some advantages to using Bayesian methods are the following: (a) sample size does not have to be as large as is the case with </w:t>
      </w:r>
      <w:r w:rsidR="003825E3">
        <w:rPr>
          <w:rFonts w:ascii="Verdana" w:eastAsia="Verdana" w:hAnsi="Verdana" w:cs="Verdana"/>
          <w:sz w:val="20"/>
          <w:szCs w:val="20"/>
        </w:rPr>
        <w:t>frequentist</w:t>
      </w:r>
      <w:r w:rsidRPr="2DCD9A74">
        <w:rPr>
          <w:rFonts w:ascii="Verdana" w:eastAsia="Verdana" w:hAnsi="Verdana" w:cs="Verdana"/>
          <w:sz w:val="20"/>
          <w:szCs w:val="20"/>
        </w:rPr>
        <w:t xml:space="preserve"> statistical models, and (b) flexible hypotheses can be modeled and tested, unlike traditional null hypothesis testing where an “effect” is found when an estimate is found to be significantly different from zero and the decision is either to reject the null or fail to reject the null.</w:t>
      </w:r>
    </w:p>
    <w:p w14:paraId="7F0663AA" w14:textId="4D33624F" w:rsidR="2DCD9A74" w:rsidRDefault="2DCD9A74" w:rsidP="2DCD9A74">
      <w:pPr>
        <w:spacing w:line="257" w:lineRule="auto"/>
      </w:pPr>
      <w:r w:rsidRPr="2DCD9A74">
        <w:rPr>
          <w:rFonts w:ascii="Verdana" w:eastAsia="Verdana" w:hAnsi="Verdana" w:cs="Verdana"/>
          <w:b/>
          <w:bCs/>
          <w:caps/>
          <w:color w:val="548DD4" w:themeColor="text2" w:themeTint="99"/>
          <w:sz w:val="24"/>
          <w:szCs w:val="24"/>
        </w:rPr>
        <w:lastRenderedPageBreak/>
        <w:t>THE BAYESIAN TOOLKIT</w:t>
      </w:r>
    </w:p>
    <w:p w14:paraId="79F0CC9C" w14:textId="7AA1931B" w:rsidR="2DCD9A74" w:rsidRDefault="2DCD9A74" w:rsidP="2DCD9A74">
      <w:pPr>
        <w:rPr>
          <w:rFonts w:eastAsia="Calibri"/>
        </w:rPr>
      </w:pPr>
    </w:p>
    <w:p w14:paraId="4A55ABDD" w14:textId="6E62115A" w:rsidR="2DCD9A74" w:rsidRDefault="2DCD9A74" w:rsidP="2DCD9A74">
      <w:pPr>
        <w:rPr>
          <w:rFonts w:ascii="Verdana" w:eastAsia="Verdana" w:hAnsi="Verdana" w:cs="Verdana"/>
          <w:sz w:val="20"/>
          <w:szCs w:val="20"/>
        </w:rPr>
      </w:pPr>
      <w:r w:rsidRPr="2DCD9A74">
        <w:rPr>
          <w:rFonts w:ascii="Verdana" w:eastAsia="Verdana" w:hAnsi="Verdana" w:cs="Verdana"/>
          <w:sz w:val="20"/>
          <w:szCs w:val="20"/>
        </w:rPr>
        <w:t xml:space="preserve">The Bayesian framework offers inferences that are straightforward and are probabilistic in nature. In fact, the p-values from the frequentist framework are often interpreted as if they stem from the posterior distribution, and </w:t>
      </w:r>
      <w:r w:rsidR="003E4070">
        <w:rPr>
          <w:rFonts w:ascii="Verdana" w:eastAsia="Verdana" w:hAnsi="Verdana" w:cs="Verdana"/>
          <w:sz w:val="20"/>
          <w:szCs w:val="20"/>
        </w:rPr>
        <w:t>the p-value</w:t>
      </w:r>
      <w:r w:rsidR="007C7925">
        <w:rPr>
          <w:rFonts w:ascii="Verdana" w:eastAsia="Verdana" w:hAnsi="Verdana" w:cs="Verdana"/>
          <w:sz w:val="20"/>
          <w:szCs w:val="20"/>
        </w:rPr>
        <w:t xml:space="preserve"> is commonly</w:t>
      </w:r>
      <w:r w:rsidR="003E4070">
        <w:rPr>
          <w:rFonts w:ascii="Verdana" w:eastAsia="Verdana" w:hAnsi="Verdana" w:cs="Verdana"/>
          <w:sz w:val="20"/>
          <w:szCs w:val="20"/>
        </w:rPr>
        <w:t xml:space="preserve"> misinterpreted as the probability of the null hypothesis</w:t>
      </w:r>
      <w:r w:rsidRPr="2DCD9A74">
        <w:rPr>
          <w:rFonts w:ascii="Verdana" w:eastAsia="Verdana" w:hAnsi="Verdana" w:cs="Verdana"/>
          <w:sz w:val="20"/>
          <w:szCs w:val="20"/>
        </w:rPr>
        <w:t xml:space="preserve"> when in fact, this </w:t>
      </w:r>
      <w:r w:rsidR="003825E3">
        <w:rPr>
          <w:rFonts w:ascii="Verdana" w:eastAsia="Verdana" w:hAnsi="Verdana" w:cs="Verdana"/>
          <w:sz w:val="20"/>
          <w:szCs w:val="20"/>
        </w:rPr>
        <w:t xml:space="preserve">that interpretation </w:t>
      </w:r>
      <w:r w:rsidRPr="2DCD9A74">
        <w:rPr>
          <w:rFonts w:ascii="Verdana" w:eastAsia="Verdana" w:hAnsi="Verdana" w:cs="Verdana"/>
          <w:sz w:val="20"/>
          <w:szCs w:val="20"/>
        </w:rPr>
        <w:t>is emphatically not the case (</w:t>
      </w:r>
      <w:proofErr w:type="spellStart"/>
      <w:r w:rsidRPr="2DCD9A74">
        <w:rPr>
          <w:rFonts w:ascii="Verdana" w:eastAsia="Verdana" w:hAnsi="Verdana" w:cs="Verdana"/>
          <w:sz w:val="20"/>
          <w:szCs w:val="20"/>
        </w:rPr>
        <w:t>Wagenmakers</w:t>
      </w:r>
      <w:proofErr w:type="spellEnd"/>
      <w:r w:rsidRPr="2DCD9A74">
        <w:rPr>
          <w:rFonts w:ascii="Verdana" w:eastAsia="Verdana" w:hAnsi="Verdana" w:cs="Verdana"/>
          <w:sz w:val="20"/>
          <w:szCs w:val="20"/>
        </w:rPr>
        <w:t xml:space="preserve"> et al., 2018). Instead, Bayes Factors affords researchers the opportunity to more rigorously examine the </w:t>
      </w:r>
      <w:r w:rsidR="00AD2D3A">
        <w:rPr>
          <w:rFonts w:ascii="Verdana" w:eastAsia="Verdana" w:hAnsi="Verdana" w:cs="Verdana"/>
          <w:sz w:val="20"/>
          <w:szCs w:val="20"/>
        </w:rPr>
        <w:t xml:space="preserve">extent to which the </w:t>
      </w:r>
      <w:r w:rsidR="003825E3">
        <w:rPr>
          <w:rFonts w:ascii="Verdana" w:eastAsia="Verdana" w:hAnsi="Verdana" w:cs="Verdana"/>
          <w:sz w:val="20"/>
          <w:szCs w:val="20"/>
        </w:rPr>
        <w:t xml:space="preserve">data fit the </w:t>
      </w:r>
      <w:r w:rsidR="00AD2D3A">
        <w:rPr>
          <w:rFonts w:ascii="Verdana" w:eastAsia="Verdana" w:hAnsi="Verdana" w:cs="Verdana"/>
          <w:sz w:val="20"/>
          <w:szCs w:val="20"/>
        </w:rPr>
        <w:t>alternate better than the null</w:t>
      </w:r>
      <w:r w:rsidRPr="2DCD9A74">
        <w:rPr>
          <w:rFonts w:ascii="Verdana" w:eastAsia="Verdana" w:hAnsi="Verdana" w:cs="Verdana"/>
          <w:sz w:val="20"/>
          <w:szCs w:val="20"/>
        </w:rPr>
        <w:t>. Bayes Factor does not aim to accept or reject the null hypothesis; rather it aims to gauge the relative fit of the hypotheses to the data. Effectively, evidence for each hypothesis (</w:t>
      </w:r>
      <w:r w:rsidR="003825E3">
        <w:rPr>
          <w:rFonts w:ascii="Verdana" w:eastAsia="Verdana" w:hAnsi="Verdana" w:cs="Verdana"/>
          <w:sz w:val="20"/>
          <w:szCs w:val="20"/>
        </w:rPr>
        <w:t>in this case,</w:t>
      </w:r>
      <w:r w:rsidRPr="2DCD9A74">
        <w:rPr>
          <w:rFonts w:ascii="Verdana" w:eastAsia="Verdana" w:hAnsi="Verdana" w:cs="Verdana"/>
          <w:sz w:val="20"/>
          <w:szCs w:val="20"/>
        </w:rPr>
        <w:t xml:space="preserve"> </w:t>
      </w:r>
      <w:r w:rsidR="003825E3">
        <w:rPr>
          <w:rFonts w:ascii="Verdana" w:eastAsia="Verdana" w:hAnsi="Verdana" w:cs="Verdana"/>
          <w:sz w:val="20"/>
          <w:szCs w:val="20"/>
        </w:rPr>
        <w:t xml:space="preserve">statistical </w:t>
      </w:r>
      <w:r w:rsidRPr="2DCD9A74">
        <w:rPr>
          <w:rFonts w:ascii="Verdana" w:eastAsia="Verdana" w:hAnsi="Verdana" w:cs="Verdana"/>
          <w:sz w:val="20"/>
          <w:szCs w:val="20"/>
        </w:rPr>
        <w:t>model) is combined in a ratio and offers an estimate that is easy to interpret. For example, if the Bayes Factor is constructed as BF</w:t>
      </w:r>
      <w:r w:rsidRPr="2DCD9A74">
        <w:rPr>
          <w:rFonts w:ascii="Verdana" w:eastAsia="Verdana" w:hAnsi="Verdana" w:cs="Verdana"/>
          <w:sz w:val="20"/>
          <w:szCs w:val="20"/>
          <w:vertAlign w:val="subscript"/>
        </w:rPr>
        <w:t>10</w:t>
      </w:r>
      <w:r w:rsidRPr="2DCD9A74">
        <w:rPr>
          <w:rFonts w:ascii="Verdana" w:eastAsia="Verdana" w:hAnsi="Verdana" w:cs="Verdana"/>
          <w:sz w:val="20"/>
          <w:szCs w:val="20"/>
        </w:rPr>
        <w:t>, then its ratio is in the direction of the alternative hypothesis</w:t>
      </w:r>
      <w:r w:rsidR="007C7925">
        <w:rPr>
          <w:rFonts w:ascii="Verdana" w:eastAsia="Verdana" w:hAnsi="Verdana" w:cs="Verdana"/>
          <w:sz w:val="20"/>
          <w:szCs w:val="20"/>
        </w:rPr>
        <w:t xml:space="preserve"> (e.g., evidence for the alternative</w:t>
      </w:r>
      <w:r w:rsidR="00AC5B59">
        <w:rPr>
          <w:rFonts w:ascii="Verdana" w:eastAsia="Verdana" w:hAnsi="Verdana" w:cs="Verdana"/>
          <w:sz w:val="20"/>
          <w:szCs w:val="20"/>
        </w:rPr>
        <w:t xml:space="preserve"> over evidence for the null)</w:t>
      </w:r>
      <w:r w:rsidRPr="2DCD9A74">
        <w:rPr>
          <w:rFonts w:ascii="Verdana" w:eastAsia="Verdana" w:hAnsi="Verdana" w:cs="Verdana"/>
          <w:sz w:val="20"/>
          <w:szCs w:val="20"/>
        </w:rPr>
        <w:t>: BF</w:t>
      </w:r>
      <w:r w:rsidRPr="2DCD9A74">
        <w:rPr>
          <w:rFonts w:ascii="Verdana" w:eastAsia="Verdana" w:hAnsi="Verdana" w:cs="Verdana"/>
          <w:sz w:val="20"/>
          <w:szCs w:val="20"/>
          <w:vertAlign w:val="subscript"/>
        </w:rPr>
        <w:t>10</w:t>
      </w:r>
      <w:r w:rsidRPr="2DCD9A74">
        <w:rPr>
          <w:rFonts w:ascii="Verdana" w:eastAsia="Verdana" w:hAnsi="Verdana" w:cs="Verdana"/>
          <w:sz w:val="20"/>
          <w:szCs w:val="20"/>
        </w:rPr>
        <w:t xml:space="preserve"> of 5.0 means the alternative model is five times as likely to have generated the data than the null model. Below, we discuss </w:t>
      </w:r>
      <w:r w:rsidR="003825E3">
        <w:rPr>
          <w:rFonts w:ascii="Verdana" w:eastAsia="Verdana" w:hAnsi="Verdana" w:cs="Verdana"/>
          <w:sz w:val="20"/>
          <w:szCs w:val="20"/>
        </w:rPr>
        <w:t>a</w:t>
      </w:r>
      <w:r w:rsidRPr="2DCD9A74">
        <w:rPr>
          <w:rFonts w:ascii="Verdana" w:eastAsia="Verdana" w:hAnsi="Verdana" w:cs="Verdana"/>
          <w:sz w:val="20"/>
          <w:szCs w:val="20"/>
        </w:rPr>
        <w:t xml:space="preserve"> method for constructing Bayes Factor</w:t>
      </w:r>
      <w:r w:rsidR="003825E3">
        <w:rPr>
          <w:rFonts w:ascii="Verdana" w:eastAsia="Verdana" w:hAnsi="Verdana" w:cs="Verdana"/>
          <w:sz w:val="20"/>
          <w:szCs w:val="20"/>
        </w:rPr>
        <w:t xml:space="preserve"> with MCMC simulation</w:t>
      </w:r>
      <w:r w:rsidRPr="2DCD9A74">
        <w:rPr>
          <w:rFonts w:ascii="Verdana" w:eastAsia="Verdana" w:hAnsi="Verdana" w:cs="Verdana"/>
          <w:sz w:val="20"/>
          <w:szCs w:val="20"/>
        </w:rPr>
        <w:t>.</w:t>
      </w:r>
    </w:p>
    <w:p w14:paraId="0EF61613" w14:textId="7294410F" w:rsidR="2DCD9A74" w:rsidRDefault="2DCD9A74" w:rsidP="2DCD9A74">
      <w:pPr>
        <w:rPr>
          <w:rFonts w:eastAsia="Calibri"/>
        </w:rPr>
      </w:pPr>
    </w:p>
    <w:p w14:paraId="12F75E02" w14:textId="374F65A4" w:rsidR="2DCD9A74" w:rsidRDefault="003D3A5B" w:rsidP="2DCD9A74">
      <w:pPr>
        <w:rPr>
          <w:rFonts w:ascii="Verdana" w:eastAsia="Verdana" w:hAnsi="Verdana" w:cs="Verdana"/>
          <w:b/>
          <w:bCs/>
          <w:sz w:val="20"/>
          <w:szCs w:val="20"/>
        </w:rPr>
      </w:pPr>
      <w:r>
        <w:rPr>
          <w:rFonts w:ascii="Verdana" w:eastAsia="Verdana" w:hAnsi="Verdana" w:cs="Verdana"/>
          <w:b/>
          <w:bCs/>
          <w:sz w:val="20"/>
          <w:szCs w:val="20"/>
        </w:rPr>
        <w:t xml:space="preserve">CALCULATING BAYES FACTORS VIA THE ROUTE OF </w:t>
      </w:r>
      <w:r w:rsidR="000B4D24">
        <w:rPr>
          <w:rFonts w:ascii="Verdana" w:eastAsia="Verdana" w:hAnsi="Verdana" w:cs="Verdana"/>
          <w:b/>
          <w:bCs/>
          <w:sz w:val="20"/>
          <w:szCs w:val="20"/>
        </w:rPr>
        <w:t>H</w:t>
      </w:r>
      <w:r w:rsidR="004B0235">
        <w:rPr>
          <w:rFonts w:ascii="Verdana" w:eastAsia="Verdana" w:hAnsi="Verdana" w:cs="Verdana"/>
          <w:b/>
          <w:bCs/>
          <w:sz w:val="20"/>
          <w:szCs w:val="20"/>
        </w:rPr>
        <w:t>URDLE</w:t>
      </w:r>
      <w:r w:rsidR="2DCD9A74" w:rsidRPr="2DCD9A74">
        <w:rPr>
          <w:rFonts w:ascii="Verdana" w:eastAsia="Verdana" w:hAnsi="Verdana" w:cs="Verdana"/>
          <w:b/>
          <w:bCs/>
          <w:sz w:val="20"/>
          <w:szCs w:val="20"/>
        </w:rPr>
        <w:t xml:space="preserve"> MODELING</w:t>
      </w:r>
    </w:p>
    <w:p w14:paraId="1DA356A7" w14:textId="67C9B95A" w:rsidR="2DCD9A74" w:rsidRDefault="2DCD9A74" w:rsidP="2DCD9A74">
      <w:pPr>
        <w:rPr>
          <w:rFonts w:eastAsia="Calibri"/>
        </w:rPr>
      </w:pPr>
    </w:p>
    <w:p w14:paraId="740F952D" w14:textId="5C9CCB98" w:rsidR="000B4D24" w:rsidRDefault="00AD2D3A" w:rsidP="2DCD9A74">
      <w:pPr>
        <w:rPr>
          <w:rFonts w:ascii="Verdana" w:eastAsia="Verdana" w:hAnsi="Verdana" w:cs="Verdana"/>
          <w:sz w:val="20"/>
          <w:szCs w:val="20"/>
        </w:rPr>
      </w:pPr>
      <w:r>
        <w:rPr>
          <w:rFonts w:ascii="Verdana" w:eastAsia="Verdana" w:hAnsi="Verdana" w:cs="Verdana"/>
          <w:sz w:val="20"/>
          <w:szCs w:val="20"/>
        </w:rPr>
        <w:t>In this section, we show how to setup and use a</w:t>
      </w:r>
      <w:r w:rsidR="00E203F5">
        <w:rPr>
          <w:rFonts w:ascii="Verdana" w:eastAsia="Verdana" w:hAnsi="Verdana" w:cs="Verdana"/>
          <w:sz w:val="20"/>
          <w:szCs w:val="20"/>
        </w:rPr>
        <w:t xml:space="preserve"> </w:t>
      </w:r>
      <w:r>
        <w:rPr>
          <w:rFonts w:ascii="Verdana" w:eastAsia="Verdana" w:hAnsi="Verdana" w:cs="Verdana"/>
          <w:sz w:val="20"/>
          <w:szCs w:val="20"/>
        </w:rPr>
        <w:t xml:space="preserve">hurdle model </w:t>
      </w:r>
      <w:r w:rsidR="00E203F5">
        <w:rPr>
          <w:rFonts w:ascii="Verdana" w:eastAsia="Verdana" w:hAnsi="Verdana" w:cs="Verdana"/>
          <w:sz w:val="20"/>
          <w:szCs w:val="20"/>
        </w:rPr>
        <w:t>as a fictional modeling device to</w:t>
      </w:r>
      <w:r>
        <w:rPr>
          <w:rFonts w:ascii="Verdana" w:eastAsia="Verdana" w:hAnsi="Verdana" w:cs="Verdana"/>
          <w:sz w:val="20"/>
          <w:szCs w:val="20"/>
        </w:rPr>
        <w:t xml:space="preserve"> compute the Bayes Factor wit</w:t>
      </w:r>
      <w:r w:rsidR="00744D72">
        <w:rPr>
          <w:rFonts w:ascii="Verdana" w:eastAsia="Verdana" w:hAnsi="Verdana" w:cs="Verdana"/>
          <w:sz w:val="20"/>
          <w:szCs w:val="20"/>
        </w:rPr>
        <w:t>h</w:t>
      </w:r>
      <w:r w:rsidR="00351169">
        <w:rPr>
          <w:rFonts w:ascii="Verdana" w:eastAsia="Verdana" w:hAnsi="Verdana" w:cs="Verdana"/>
          <w:sz w:val="20"/>
          <w:szCs w:val="20"/>
        </w:rPr>
        <w:t xml:space="preserve"> </w:t>
      </w:r>
      <w:r w:rsidR="003825E3">
        <w:rPr>
          <w:rFonts w:ascii="Verdana" w:eastAsia="Verdana" w:hAnsi="Verdana" w:cs="Verdana"/>
          <w:sz w:val="20"/>
          <w:szCs w:val="20"/>
        </w:rPr>
        <w:t>MCMC simulation</w:t>
      </w:r>
      <w:r>
        <w:rPr>
          <w:rFonts w:ascii="Verdana" w:eastAsia="Verdana" w:hAnsi="Verdana" w:cs="Verdana"/>
          <w:sz w:val="20"/>
          <w:szCs w:val="20"/>
        </w:rPr>
        <w:t xml:space="preserve">. </w:t>
      </w:r>
      <w:r w:rsidR="002E3A7A">
        <w:rPr>
          <w:rFonts w:ascii="Verdana" w:eastAsia="Verdana" w:hAnsi="Verdana" w:cs="Verdana"/>
          <w:sz w:val="20"/>
          <w:szCs w:val="20"/>
        </w:rPr>
        <w:t xml:space="preserve">PROC MCMC is a general-purpose </w:t>
      </w:r>
      <w:r w:rsidR="00D2782E">
        <w:rPr>
          <w:rFonts w:ascii="Verdana" w:eastAsia="Verdana" w:hAnsi="Verdana" w:cs="Verdana"/>
          <w:sz w:val="20"/>
          <w:szCs w:val="20"/>
        </w:rPr>
        <w:t>MCMC simulation procedure capable of fitting a wide range of models to data</w:t>
      </w:r>
      <w:r w:rsidR="00152D53">
        <w:rPr>
          <w:rFonts w:ascii="Verdana" w:eastAsia="Verdana" w:hAnsi="Verdana" w:cs="Verdana"/>
          <w:sz w:val="20"/>
          <w:szCs w:val="20"/>
        </w:rPr>
        <w:t xml:space="preserve">, including </w:t>
      </w:r>
      <w:r w:rsidR="00564099">
        <w:rPr>
          <w:rFonts w:ascii="Verdana" w:eastAsia="Verdana" w:hAnsi="Verdana" w:cs="Verdana"/>
          <w:sz w:val="20"/>
          <w:szCs w:val="20"/>
        </w:rPr>
        <w:t xml:space="preserve">a two-stage </w:t>
      </w:r>
      <w:r w:rsidR="00B81C16">
        <w:rPr>
          <w:rFonts w:ascii="Verdana" w:eastAsia="Verdana" w:hAnsi="Verdana" w:cs="Verdana"/>
          <w:sz w:val="20"/>
          <w:szCs w:val="20"/>
        </w:rPr>
        <w:t>hurdle</w:t>
      </w:r>
      <w:r w:rsidR="00152D53">
        <w:rPr>
          <w:rFonts w:ascii="Verdana" w:eastAsia="Verdana" w:hAnsi="Verdana" w:cs="Verdana"/>
          <w:sz w:val="20"/>
          <w:szCs w:val="20"/>
        </w:rPr>
        <w:t xml:space="preserve"> model</w:t>
      </w:r>
      <w:r w:rsidR="00D2782E">
        <w:rPr>
          <w:rFonts w:ascii="Verdana" w:eastAsia="Verdana" w:hAnsi="Verdana" w:cs="Verdana"/>
          <w:sz w:val="20"/>
          <w:szCs w:val="20"/>
        </w:rPr>
        <w:t>.</w:t>
      </w:r>
      <w:r w:rsidR="00152D53">
        <w:rPr>
          <w:rFonts w:ascii="Verdana" w:eastAsia="Verdana" w:hAnsi="Verdana" w:cs="Verdana"/>
          <w:sz w:val="20"/>
          <w:szCs w:val="20"/>
        </w:rPr>
        <w:t xml:space="preserve"> </w:t>
      </w:r>
      <w:r w:rsidR="00564099">
        <w:rPr>
          <w:rFonts w:ascii="Verdana" w:eastAsia="Verdana" w:hAnsi="Verdana" w:cs="Verdana"/>
          <w:sz w:val="20"/>
          <w:szCs w:val="20"/>
        </w:rPr>
        <w:t xml:space="preserve">In this case, </w:t>
      </w:r>
      <w:r w:rsidR="00385E9B">
        <w:rPr>
          <w:rFonts w:ascii="Verdana" w:eastAsia="Verdana" w:hAnsi="Verdana" w:cs="Verdana"/>
          <w:sz w:val="20"/>
          <w:szCs w:val="20"/>
        </w:rPr>
        <w:t>to calculate the BF</w:t>
      </w:r>
      <w:r w:rsidR="00EB63E9">
        <w:rPr>
          <w:rFonts w:ascii="Verdana" w:eastAsia="Verdana" w:hAnsi="Verdana" w:cs="Verdana"/>
          <w:sz w:val="20"/>
          <w:szCs w:val="20"/>
        </w:rPr>
        <w:t xml:space="preserve"> to compare an alternate </w:t>
      </w:r>
      <w:r w:rsidR="00EB63E9" w:rsidRPr="00EB63E9">
        <w:rPr>
          <w:rFonts w:ascii="Verdana" w:eastAsia="Verdana" w:hAnsi="Verdana" w:cs="Verdana"/>
          <w:sz w:val="20"/>
          <w:szCs w:val="20"/>
        </w:rPr>
        <w:t>(</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EB63E9" w:rsidRPr="00EB63E9">
        <w:rPr>
          <w:rFonts w:ascii="Verdana" w:eastAsia="Verdana" w:hAnsi="Verdana" w:cs="Verdana"/>
          <w:sz w:val="20"/>
          <w:szCs w:val="20"/>
        </w:rPr>
        <w:t>) vs null model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00EB63E9">
        <w:rPr>
          <w:rFonts w:ascii="Verdana" w:eastAsia="Verdana" w:hAnsi="Verdana" w:cs="Verdana"/>
          <w:sz w:val="20"/>
          <w:szCs w:val="20"/>
        </w:rPr>
        <w:t>)</w:t>
      </w:r>
      <w:r w:rsidR="00385E9B">
        <w:rPr>
          <w:rFonts w:ascii="Verdana" w:eastAsia="Verdana" w:hAnsi="Verdana" w:cs="Verdana"/>
          <w:sz w:val="20"/>
          <w:szCs w:val="20"/>
        </w:rPr>
        <w:t>,</w:t>
      </w:r>
      <w:r w:rsidR="000C28D9">
        <w:rPr>
          <w:rFonts w:ascii="Verdana" w:eastAsia="Verdana" w:hAnsi="Verdana" w:cs="Verdana"/>
          <w:sz w:val="20"/>
          <w:szCs w:val="20"/>
        </w:rPr>
        <w:t xml:space="preserve"> </w:t>
      </w:r>
      <w:r w:rsidR="00E203F5">
        <w:rPr>
          <w:rFonts w:ascii="Verdana" w:eastAsia="Verdana" w:hAnsi="Verdana" w:cs="Verdana"/>
          <w:sz w:val="20"/>
          <w:szCs w:val="20"/>
        </w:rPr>
        <w:t>pretend for the moment</w:t>
      </w:r>
      <w:r w:rsidR="00DB0E63">
        <w:rPr>
          <w:rFonts w:ascii="Verdana" w:eastAsia="Verdana" w:hAnsi="Verdana" w:cs="Verdana"/>
          <w:sz w:val="20"/>
          <w:szCs w:val="20"/>
        </w:rPr>
        <w:t xml:space="preserve"> </w:t>
      </w:r>
      <w:r w:rsidR="000C28D9">
        <w:rPr>
          <w:rFonts w:ascii="Verdana" w:eastAsia="Verdana" w:hAnsi="Verdana" w:cs="Verdana"/>
          <w:sz w:val="20"/>
          <w:szCs w:val="20"/>
        </w:rPr>
        <w:t>that</w:t>
      </w:r>
      <w:r w:rsidR="00E203F5">
        <w:rPr>
          <w:rFonts w:ascii="Verdana" w:eastAsia="Verdana" w:hAnsi="Verdana" w:cs="Verdana"/>
          <w:sz w:val="20"/>
          <w:szCs w:val="20"/>
        </w:rPr>
        <w:t>, counterfactually speaking,</w:t>
      </w:r>
      <w:r w:rsidR="000C28D9">
        <w:rPr>
          <w:rFonts w:ascii="Verdana" w:eastAsia="Verdana" w:hAnsi="Verdana" w:cs="Verdana"/>
          <w:sz w:val="20"/>
          <w:szCs w:val="20"/>
        </w:rPr>
        <w:t xml:space="preserve"> </w:t>
      </w:r>
      <w:r w:rsidR="00E203F5">
        <w:rPr>
          <w:rFonts w:ascii="Verdana" w:eastAsia="Verdana" w:hAnsi="Verdana" w:cs="Verdana"/>
          <w:sz w:val="20"/>
          <w:szCs w:val="20"/>
        </w:rPr>
        <w:t xml:space="preserve">the obtained </w:t>
      </w:r>
      <w:r w:rsidR="000C28D9">
        <w:rPr>
          <w:rFonts w:ascii="Verdana" w:eastAsia="Verdana" w:hAnsi="Verdana" w:cs="Verdana"/>
          <w:sz w:val="20"/>
          <w:szCs w:val="20"/>
        </w:rPr>
        <w:t xml:space="preserve">sample data </w:t>
      </w:r>
      <w:r w:rsidR="00E203F5">
        <w:rPr>
          <w:rFonts w:ascii="Verdana" w:eastAsia="Verdana" w:hAnsi="Verdana" w:cs="Verdana"/>
          <w:sz w:val="20"/>
          <w:szCs w:val="20"/>
        </w:rPr>
        <w:t xml:space="preserve">really </w:t>
      </w:r>
      <w:r w:rsidR="000C28D9">
        <w:rPr>
          <w:rFonts w:ascii="Verdana" w:eastAsia="Verdana" w:hAnsi="Verdana" w:cs="Verdana"/>
          <w:sz w:val="20"/>
          <w:szCs w:val="20"/>
        </w:rPr>
        <w:t xml:space="preserve">came from a two-stage stochastic process in </w:t>
      </w:r>
      <w:r w:rsidR="00385E9B">
        <w:rPr>
          <w:rFonts w:ascii="Verdana" w:eastAsia="Verdana" w:hAnsi="Verdana" w:cs="Verdana"/>
          <w:sz w:val="20"/>
          <w:szCs w:val="20"/>
        </w:rPr>
        <w:t xml:space="preserve">which </w:t>
      </w:r>
      <w:r w:rsidR="000D2520">
        <w:rPr>
          <w:rFonts w:ascii="Verdana" w:eastAsia="Verdana" w:hAnsi="Verdana" w:cs="Verdana"/>
          <w:sz w:val="20"/>
          <w:szCs w:val="20"/>
        </w:rPr>
        <w:t>stage-one</w:t>
      </w:r>
      <w:r w:rsidR="0003569D">
        <w:rPr>
          <w:rFonts w:ascii="Verdana" w:eastAsia="Verdana" w:hAnsi="Verdana" w:cs="Verdana"/>
          <w:sz w:val="20"/>
          <w:szCs w:val="20"/>
        </w:rPr>
        <w:t xml:space="preserve"> outcomes impact</w:t>
      </w:r>
      <w:r w:rsidR="00EB63E9">
        <w:rPr>
          <w:rFonts w:ascii="Verdana" w:eastAsia="Verdana" w:hAnsi="Verdana" w:cs="Verdana"/>
          <w:sz w:val="20"/>
          <w:szCs w:val="20"/>
        </w:rPr>
        <w:t>ed</w:t>
      </w:r>
      <w:r w:rsidR="0003569D">
        <w:rPr>
          <w:rFonts w:ascii="Verdana" w:eastAsia="Verdana" w:hAnsi="Verdana" w:cs="Verdana"/>
          <w:sz w:val="20"/>
          <w:szCs w:val="20"/>
        </w:rPr>
        <w:t xml:space="preserve"> </w:t>
      </w:r>
      <w:r w:rsidR="000D2520">
        <w:rPr>
          <w:rFonts w:ascii="Verdana" w:eastAsia="Verdana" w:hAnsi="Verdana" w:cs="Verdana"/>
          <w:sz w:val="20"/>
          <w:szCs w:val="20"/>
        </w:rPr>
        <w:t>stage-two</w:t>
      </w:r>
      <w:r w:rsidR="0003569D">
        <w:rPr>
          <w:rFonts w:ascii="Verdana" w:eastAsia="Verdana" w:hAnsi="Verdana" w:cs="Verdana"/>
          <w:sz w:val="20"/>
          <w:szCs w:val="20"/>
        </w:rPr>
        <w:t xml:space="preserve"> outcomes. In this </w:t>
      </w:r>
      <w:r w:rsidR="004549FC">
        <w:rPr>
          <w:rFonts w:ascii="Verdana" w:eastAsia="Verdana" w:hAnsi="Verdana" w:cs="Verdana"/>
          <w:sz w:val="20"/>
          <w:szCs w:val="20"/>
        </w:rPr>
        <w:t>imaginary scenario</w:t>
      </w:r>
      <w:r w:rsidR="0003569D">
        <w:rPr>
          <w:rFonts w:ascii="Verdana" w:eastAsia="Verdana" w:hAnsi="Verdana" w:cs="Verdana"/>
          <w:sz w:val="20"/>
          <w:szCs w:val="20"/>
        </w:rPr>
        <w:t xml:space="preserve">, </w:t>
      </w:r>
      <w:r w:rsidR="00933BB7">
        <w:rPr>
          <w:rFonts w:ascii="Verdana" w:eastAsia="Verdana" w:hAnsi="Verdana" w:cs="Verdana"/>
          <w:sz w:val="20"/>
          <w:szCs w:val="20"/>
        </w:rPr>
        <w:t xml:space="preserve">stage-one outcomes </w:t>
      </w:r>
      <w:r w:rsidR="00FD0C2B">
        <w:rPr>
          <w:rFonts w:ascii="Verdana" w:eastAsia="Verdana" w:hAnsi="Verdana" w:cs="Verdana"/>
          <w:sz w:val="20"/>
          <w:szCs w:val="20"/>
        </w:rPr>
        <w:t>are</w:t>
      </w:r>
      <w:r w:rsidR="004549FC">
        <w:rPr>
          <w:rFonts w:ascii="Verdana" w:eastAsia="Verdana" w:hAnsi="Verdana" w:cs="Verdana"/>
          <w:sz w:val="20"/>
          <w:szCs w:val="20"/>
        </w:rPr>
        <w:t xml:space="preserve"> assumed</w:t>
      </w:r>
      <w:r w:rsidR="00933BB7">
        <w:rPr>
          <w:rFonts w:ascii="Verdana" w:eastAsia="Verdana" w:hAnsi="Verdana" w:cs="Verdana"/>
          <w:sz w:val="20"/>
          <w:szCs w:val="20"/>
        </w:rPr>
        <w:t xml:space="preserve"> controlled by </w:t>
      </w:r>
      <w:r w:rsidR="000D2520">
        <w:rPr>
          <w:rFonts w:ascii="Verdana" w:eastAsia="Verdana" w:hAnsi="Verdana" w:cs="Verdana"/>
          <w:sz w:val="20"/>
          <w:szCs w:val="20"/>
        </w:rPr>
        <w:t>a binary (Bernoulli) stochastic process</w:t>
      </w:r>
      <w:r w:rsidR="00F10A85">
        <w:rPr>
          <w:rFonts w:ascii="Verdana" w:eastAsia="Verdana" w:hAnsi="Verdana" w:cs="Verdana"/>
          <w:sz w:val="20"/>
          <w:szCs w:val="20"/>
        </w:rPr>
        <w:t>; such that</w:t>
      </w:r>
      <w:r w:rsidR="00CC3750">
        <w:rPr>
          <w:rFonts w:ascii="Verdana" w:eastAsia="Verdana" w:hAnsi="Verdana" w:cs="Verdana"/>
          <w:sz w:val="20"/>
          <w:szCs w:val="20"/>
        </w:rPr>
        <w:t>:</w:t>
      </w:r>
    </w:p>
    <w:p w14:paraId="01729E7A" w14:textId="0BC8393D" w:rsidR="00CC3750" w:rsidRDefault="00CC3750" w:rsidP="2DCD9A74">
      <w:pPr>
        <w:rPr>
          <w:rFonts w:ascii="Verdana" w:eastAsia="Verdana" w:hAnsi="Verdana" w:cs="Verdana"/>
          <w:sz w:val="20"/>
          <w:szCs w:val="20"/>
        </w:rPr>
      </w:pPr>
    </w:p>
    <w:p w14:paraId="0C1BEA8A" w14:textId="52A5861C" w:rsidR="00A73338" w:rsidRDefault="00A73338">
      <m:oMathPara>
        <m:oMath>
          <m:r>
            <w:rPr>
              <w:rFonts w:ascii="Cambria Math" w:eastAsia="Verdana" w:hAnsi="Cambria Math" w:cs="Verdana"/>
              <w:sz w:val="20"/>
              <w:szCs w:val="20"/>
            </w:rPr>
            <m:t>P</m:t>
          </m:r>
          <m:d>
            <m:dPr>
              <m:ctrlPr>
                <w:rPr>
                  <w:rFonts w:ascii="Cambria Math" w:eastAsia="Verdana" w:hAnsi="Cambria Math" w:cs="Verdana"/>
                  <w:i/>
                  <w:sz w:val="20"/>
                  <w:szCs w:val="20"/>
                </w:rPr>
              </m:ctrlPr>
            </m:dPr>
            <m:e>
              <m:r>
                <m:rPr>
                  <m:sty m:val="p"/>
                </m:rPr>
                <w:rPr>
                  <w:rFonts w:ascii="Cambria Math" w:eastAsia="Verdana" w:hAnsi="Cambria Math" w:cs="Verdana"/>
                  <w:sz w:val="20"/>
                  <w:szCs w:val="20"/>
                </w:rPr>
                <m:t>P</m:t>
              </m:r>
              <m:r>
                <w:rPr>
                  <w:rFonts w:ascii="Cambria Math" w:eastAsia="Verdana" w:hAnsi="Cambria Math" w:cs="Verdana"/>
                  <w:sz w:val="20"/>
                  <w:szCs w:val="20"/>
                </w:rPr>
                <m:t>=p</m:t>
              </m:r>
            </m:e>
          </m:d>
          <m:r>
            <w:rPr>
              <w:rFonts w:ascii="Cambria Math" w:eastAsia="Verdana" w:hAnsi="Cambria Math" w:cs="Verdana"/>
              <w:sz w:val="20"/>
              <w:szCs w:val="20"/>
            </w:rPr>
            <m:t>=</m:t>
          </m:r>
          <m:d>
            <m:dPr>
              <m:begChr m:val="{"/>
              <m:endChr m:val=""/>
              <m:ctrlPr>
                <w:rPr>
                  <w:rFonts w:ascii="Cambria Math" w:hAnsi="Cambria Math"/>
                  <w:b/>
                  <w:bCs/>
                  <w:i/>
                </w:rPr>
              </m:ctrlPr>
            </m:dPr>
            <m:e>
              <m:m>
                <m:mPr>
                  <m:mcs>
                    <m:mc>
                      <m:mcPr>
                        <m:count m:val="1"/>
                        <m:mcJc m:val="center"/>
                      </m:mcPr>
                    </m:mc>
                  </m:mcs>
                  <m:ctrlPr>
                    <w:rPr>
                      <w:rFonts w:ascii="Cambria Math" w:hAnsi="Cambria Math"/>
                      <w:i/>
                    </w:rPr>
                  </m:ctrlPr>
                </m:mPr>
                <m:mr>
                  <m:e>
                    <m:r>
                      <m:rPr>
                        <m:sty m:val="p"/>
                      </m:rPr>
                      <w:rPr>
                        <w:rFonts w:ascii="Cambria Math" w:hAnsi="Cambria Math"/>
                      </w:rPr>
                      <m:t>Φ</m:t>
                    </m:r>
                  </m:e>
                </m:mr>
                <m:mr>
                  <m:e>
                    <m:r>
                      <w:rPr>
                        <w:rFonts w:ascii="Cambria Math" w:hAnsi="Cambria Math"/>
                      </w:rPr>
                      <m:t>1-ϕ</m:t>
                    </m:r>
                  </m:e>
                </m:mr>
              </m:m>
              <m:r>
                <w:rPr>
                  <w:rFonts w:ascii="Cambria Math" w:hAnsi="Cambria Math"/>
                </w:rPr>
                <m:t xml:space="preserve">   </m:t>
              </m:r>
              <m:m>
                <m:mPr>
                  <m:mcs>
                    <m:mc>
                      <m:mcPr>
                        <m:count m:val="1"/>
                        <m:mcJc m:val="center"/>
                      </m:mcPr>
                    </m:mc>
                  </m:mcs>
                  <m:ctrlPr>
                    <w:rPr>
                      <w:rFonts w:ascii="Cambria Math" w:hAnsi="Cambria Math"/>
                      <w:i/>
                    </w:rPr>
                  </m:ctrlPr>
                </m:mPr>
                <m:mr>
                  <m:e>
                    <m:r>
                      <w:rPr>
                        <w:rFonts w:ascii="Cambria Math" w:hAnsi="Cambria Math"/>
                      </w:rPr>
                      <m:t>p=1 (</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e>
                </m:mr>
                <m:mr>
                  <m:e>
                    <m:r>
                      <w:rPr>
                        <w:rFonts w:ascii="Cambria Math" w:hAnsi="Cambria Math"/>
                      </w:rPr>
                      <m:t>p=0 (</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e>
                </m:mr>
              </m:m>
            </m:e>
          </m:d>
        </m:oMath>
      </m:oMathPara>
    </w:p>
    <w:p w14:paraId="32BA1C21" w14:textId="2601694E" w:rsidR="00CC3750" w:rsidRDefault="00CC3750" w:rsidP="2DCD9A74">
      <w:pPr>
        <w:rPr>
          <w:rFonts w:ascii="Verdana" w:eastAsia="Verdana" w:hAnsi="Verdana" w:cs="Verdana"/>
          <w:sz w:val="20"/>
          <w:szCs w:val="20"/>
        </w:rPr>
      </w:pPr>
    </w:p>
    <w:p w14:paraId="51937FD5" w14:textId="333BADDE" w:rsidR="009652D4" w:rsidRDefault="00FD0C2B" w:rsidP="00AF4FFA">
      <w:pPr>
        <w:rPr>
          <w:rFonts w:ascii="Verdana" w:eastAsia="Verdana" w:hAnsi="Verdana" w:cs="Verdana"/>
          <w:sz w:val="20"/>
          <w:szCs w:val="20"/>
        </w:rPr>
      </w:pPr>
      <w:r>
        <w:rPr>
          <w:rFonts w:ascii="Verdana" w:eastAsia="Verdana" w:hAnsi="Verdana" w:cs="Verdana"/>
          <w:sz w:val="20"/>
          <w:szCs w:val="20"/>
        </w:rPr>
        <w:t xml:space="preserve">Where </w:t>
      </w:r>
      <m:oMath>
        <m:r>
          <m:rPr>
            <m:sty m:val="p"/>
          </m:rPr>
          <w:rPr>
            <w:rFonts w:ascii="Cambria Math" w:hAnsi="Cambria Math"/>
          </w:rPr>
          <m:t>Φ</m:t>
        </m:r>
      </m:oMath>
      <w:r>
        <w:rPr>
          <w:rFonts w:ascii="Verdana" w:eastAsia="Verdana" w:hAnsi="Verdana" w:cs="Verdana"/>
          <w:b/>
          <w:bCs/>
        </w:rPr>
        <w:t xml:space="preserve"> </w:t>
      </w:r>
      <w:r>
        <w:rPr>
          <w:rFonts w:ascii="Verdana" w:eastAsia="Verdana" w:hAnsi="Verdana" w:cs="Verdana"/>
          <w:sz w:val="20"/>
          <w:szCs w:val="20"/>
        </w:rPr>
        <w:t xml:space="preserve">denotes the prior probability (credibility) </w:t>
      </w:r>
      <w:r w:rsidR="00F44422">
        <w:rPr>
          <w:rFonts w:ascii="Verdana" w:eastAsia="Verdana" w:hAnsi="Verdana" w:cs="Verdana"/>
          <w:sz w:val="20"/>
          <w:szCs w:val="20"/>
        </w:rPr>
        <w:t xml:space="preserve">that </w:t>
      </w:r>
      <w:r>
        <w:rPr>
          <w:rFonts w:ascii="Verdana" w:eastAsia="Verdana" w:hAnsi="Verdana" w:cs="Verdana"/>
          <w:sz w:val="20"/>
          <w:szCs w:val="20"/>
        </w:rPr>
        <w:t xml:space="preserve">the alternate model </w:t>
      </w:r>
      <w:r w:rsidR="00F44422">
        <w:rPr>
          <w:rFonts w:ascii="Verdana" w:eastAsia="Verdana" w:hAnsi="Verdana" w:cs="Verdana"/>
          <w:sz w:val="20"/>
          <w:szCs w:val="20"/>
        </w:rPr>
        <w:t xml:space="preserve">generated the sample data </w:t>
      </w:r>
      <w:r>
        <w:rPr>
          <w:rFonts w:ascii="Verdana" w:eastAsia="Verdana" w:hAnsi="Verdana" w:cs="Verdana"/>
          <w:sz w:val="20"/>
          <w:szCs w:val="20"/>
        </w:rPr>
        <w:t xml:space="preserve">apart from </w:t>
      </w:r>
      <w:r w:rsidR="00F44422">
        <w:rPr>
          <w:rFonts w:ascii="Verdana" w:eastAsia="Verdana" w:hAnsi="Verdana" w:cs="Verdana"/>
          <w:sz w:val="20"/>
          <w:szCs w:val="20"/>
        </w:rPr>
        <w:t xml:space="preserve">seeing </w:t>
      </w:r>
      <w:r>
        <w:rPr>
          <w:rFonts w:ascii="Verdana" w:eastAsia="Verdana" w:hAnsi="Verdana" w:cs="Verdana"/>
          <w:sz w:val="20"/>
          <w:szCs w:val="20"/>
        </w:rPr>
        <w:t>sample data.</w:t>
      </w:r>
      <w:r w:rsidR="00F44422">
        <w:rPr>
          <w:rFonts w:ascii="Verdana" w:eastAsia="Verdana" w:hAnsi="Verdana" w:cs="Verdana"/>
          <w:sz w:val="20"/>
          <w:szCs w:val="20"/>
        </w:rPr>
        <w:t xml:space="preserve"> Incidentally, this hurdle model assumes then that </w:t>
      </w:r>
      <w:r w:rsidR="00417074">
        <w:rPr>
          <w:rFonts w:ascii="Verdana" w:eastAsia="Verdana" w:hAnsi="Verdana" w:cs="Verdana"/>
          <w:sz w:val="20"/>
          <w:szCs w:val="20"/>
        </w:rPr>
        <w:t>the sample was</w:t>
      </w:r>
      <w:r w:rsidR="00F44422">
        <w:rPr>
          <w:rFonts w:ascii="Verdana" w:eastAsia="Verdana" w:hAnsi="Verdana" w:cs="Verdana"/>
          <w:sz w:val="20"/>
          <w:szCs w:val="20"/>
        </w:rPr>
        <w:t xml:space="preserve"> generated from either the alternate or null models. It is common practice to set</w:t>
      </w:r>
      <w:r>
        <w:rPr>
          <w:rFonts w:ascii="Verdana" w:eastAsia="Verdana" w:hAnsi="Verdana" w:cs="Verdana"/>
          <w:sz w:val="20"/>
          <w:szCs w:val="20"/>
        </w:rPr>
        <w:t xml:space="preserve"> </w:t>
      </w:r>
      <m:oMath>
        <m:r>
          <m:rPr>
            <m:sty m:val="p"/>
          </m:rPr>
          <w:rPr>
            <w:rFonts w:ascii="Cambria Math" w:hAnsi="Cambria Math"/>
          </w:rPr>
          <m:t>Φ=0.5</m:t>
        </m:r>
      </m:oMath>
      <w:r w:rsidR="00F44422">
        <w:rPr>
          <w:rFonts w:ascii="Verdana" w:eastAsia="Verdana" w:hAnsi="Verdana" w:cs="Verdana"/>
        </w:rPr>
        <w:t xml:space="preserve"> </w:t>
      </w:r>
      <w:r w:rsidR="00F44422">
        <w:rPr>
          <w:rFonts w:ascii="Verdana" w:eastAsia="Verdana" w:hAnsi="Verdana" w:cs="Verdana"/>
          <w:sz w:val="20"/>
          <w:szCs w:val="20"/>
        </w:rPr>
        <w:t xml:space="preserve">(neutral; that is, assign equal prior probabilities between models). However, analysts can </w:t>
      </w:r>
      <w:r w:rsidR="003A3AC3">
        <w:rPr>
          <w:rFonts w:ascii="Verdana" w:eastAsia="Verdana" w:hAnsi="Verdana" w:cs="Verdana"/>
          <w:sz w:val="20"/>
          <w:szCs w:val="20"/>
        </w:rPr>
        <w:t xml:space="preserve">set the value of </w:t>
      </w:r>
      <m:oMath>
        <m:r>
          <m:rPr>
            <m:sty m:val="p"/>
          </m:rPr>
          <w:rPr>
            <w:rFonts w:ascii="Cambria Math" w:hAnsi="Cambria Math"/>
          </w:rPr>
          <m:t>Φ</m:t>
        </m:r>
      </m:oMath>
      <w:r w:rsidR="003A3AC3">
        <w:rPr>
          <w:rFonts w:ascii="Verdana" w:eastAsia="Verdana" w:hAnsi="Verdana" w:cs="Verdana"/>
        </w:rPr>
        <w:t xml:space="preserve"> </w:t>
      </w:r>
      <w:r w:rsidR="003A3AC3">
        <w:rPr>
          <w:rFonts w:ascii="Verdana" w:eastAsia="Verdana" w:hAnsi="Verdana" w:cs="Verdana"/>
          <w:sz w:val="20"/>
          <w:szCs w:val="20"/>
        </w:rPr>
        <w:t xml:space="preserve">to any quantity that they judge to reflect the state of information. </w:t>
      </w:r>
      <w:r w:rsidR="00F96C02">
        <w:rPr>
          <w:rFonts w:ascii="Verdana" w:eastAsia="Verdana" w:hAnsi="Verdana" w:cs="Verdana"/>
          <w:sz w:val="20"/>
          <w:szCs w:val="20"/>
        </w:rPr>
        <w:t xml:space="preserve">The </w:t>
      </w:r>
      <w:r w:rsidR="002C1A4B">
        <w:rPr>
          <w:rFonts w:ascii="Verdana" w:eastAsia="Verdana" w:hAnsi="Verdana" w:cs="Verdana"/>
          <w:sz w:val="20"/>
          <w:szCs w:val="20"/>
        </w:rPr>
        <w:t>stage-two outcomes, in turn, are controlled by whichever model is selected at stage one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413E5B">
        <w:rPr>
          <w:rFonts w:ascii="Verdana" w:eastAsia="Verdana" w:hAnsi="Verdana" w:cs="Verdana"/>
        </w:rPr>
        <w:t xml:space="preserve"> </w:t>
      </w:r>
      <w:r w:rsidR="00413E5B" w:rsidRPr="003825E3">
        <w:rPr>
          <w:rFonts w:ascii="Verdana" w:eastAsia="Verdana" w:hAnsi="Verdana" w:cs="Verdana"/>
        </w:rPr>
        <w:t>or</w:t>
      </w:r>
      <w:r w:rsidR="00413E5B">
        <w:rPr>
          <w:rFonts w:ascii="Verdana" w:eastAsia="Verdana" w:hAnsi="Verdana" w:cs="Verdana"/>
        </w:rPr>
        <w:t xml:space="preserve">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002C1A4B">
        <w:rPr>
          <w:rFonts w:ascii="Verdana" w:eastAsia="Verdana" w:hAnsi="Verdana" w:cs="Verdana"/>
          <w:sz w:val="20"/>
          <w:szCs w:val="20"/>
        </w:rPr>
        <w:t>)</w:t>
      </w:r>
      <w:r w:rsidR="00413E5B">
        <w:rPr>
          <w:rFonts w:ascii="Verdana" w:eastAsia="Verdana" w:hAnsi="Verdana" w:cs="Verdana"/>
          <w:sz w:val="20"/>
          <w:szCs w:val="20"/>
        </w:rPr>
        <w:t xml:space="preserve">. Take as an example, a </w:t>
      </w:r>
      <w:r w:rsidR="00C27C35">
        <w:rPr>
          <w:rFonts w:ascii="Verdana" w:eastAsia="Verdana" w:hAnsi="Verdana" w:cs="Verdana"/>
          <w:sz w:val="20"/>
          <w:szCs w:val="20"/>
        </w:rPr>
        <w:t xml:space="preserve">simple logistic regression </w:t>
      </w:r>
      <w:r w:rsidR="003825E3">
        <w:rPr>
          <w:rFonts w:ascii="Verdana" w:eastAsia="Verdana" w:hAnsi="Verdana" w:cs="Verdana"/>
          <w:sz w:val="20"/>
          <w:szCs w:val="20"/>
        </w:rPr>
        <w:t xml:space="preserve">model </w:t>
      </w:r>
      <w:r w:rsidR="00AF4FFA">
        <w:rPr>
          <w:rFonts w:ascii="Verdana" w:eastAsia="Verdana" w:hAnsi="Verdana" w:cs="Verdana"/>
          <w:sz w:val="20"/>
          <w:szCs w:val="20"/>
        </w:rPr>
        <w:t>such tha</w:t>
      </w:r>
      <w:r w:rsidR="003825E3">
        <w:rPr>
          <w:rFonts w:ascii="Verdana" w:eastAsia="Verdana" w:hAnsi="Verdana" w:cs="Verdana"/>
          <w:sz w:val="20"/>
          <w:szCs w:val="20"/>
        </w:rPr>
        <w:t xml:space="preserve">t </w:t>
      </w:r>
      <w:r w:rsidR="00AF4FFA">
        <w:rPr>
          <w:rFonts w:ascii="Verdana" w:eastAsia="Verdana" w:hAnsi="Verdana" w:cs="Verdana"/>
          <w:sz w:val="20"/>
          <w:szCs w:val="20"/>
        </w:rPr>
        <w:t xml:space="preserve">we </w:t>
      </w:r>
      <w:r w:rsidR="003825E3">
        <w:rPr>
          <w:rFonts w:ascii="Verdana" w:eastAsia="Verdana" w:hAnsi="Verdana" w:cs="Verdana"/>
          <w:sz w:val="20"/>
          <w:szCs w:val="20"/>
        </w:rPr>
        <w:t>wish to test</w:t>
      </w:r>
      <w:r w:rsidR="00AF4FFA">
        <w:rPr>
          <w:rFonts w:ascii="Verdana" w:eastAsia="Verdana" w:hAnsi="Verdana" w:cs="Verdana"/>
          <w:sz w:val="20"/>
          <w:szCs w:val="20"/>
        </w:rPr>
        <w:t xml:space="preserve"> a null </w:t>
      </w:r>
      <w:r w:rsidR="003825E3">
        <w:rPr>
          <w:rFonts w:ascii="Verdana" w:eastAsia="Verdana" w:hAnsi="Verdana" w:cs="Verdana"/>
          <w:sz w:val="20"/>
          <w:szCs w:val="20"/>
        </w:rPr>
        <w:t>version</w:t>
      </w:r>
      <w:r w:rsidR="00AF4FFA">
        <w:rPr>
          <w:rFonts w:ascii="Verdana" w:eastAsia="Verdana" w:hAnsi="Verdana" w:cs="Verdana"/>
          <w:sz w:val="20"/>
          <w:szCs w:val="20"/>
        </w:rPr>
        <w:t xml:space="preserve"> (no effect) and an alternate </w:t>
      </w:r>
      <w:r w:rsidR="003825E3">
        <w:rPr>
          <w:rFonts w:ascii="Verdana" w:eastAsia="Verdana" w:hAnsi="Verdana" w:cs="Verdana"/>
          <w:sz w:val="20"/>
          <w:szCs w:val="20"/>
        </w:rPr>
        <w:t>version</w:t>
      </w:r>
      <w:r w:rsidR="00AF4FFA">
        <w:rPr>
          <w:rFonts w:ascii="Verdana" w:eastAsia="Verdana" w:hAnsi="Verdana" w:cs="Verdana"/>
          <w:sz w:val="20"/>
          <w:szCs w:val="20"/>
        </w:rPr>
        <w:t xml:space="preserve"> (effect). </w:t>
      </w:r>
    </w:p>
    <w:p w14:paraId="560B1145" w14:textId="77777777" w:rsidR="009652D4" w:rsidRDefault="009652D4" w:rsidP="00AF4FFA">
      <w:pPr>
        <w:rPr>
          <w:rFonts w:ascii="Verdana" w:eastAsia="Verdana" w:hAnsi="Verdana" w:cs="Verdana"/>
          <w:sz w:val="20"/>
          <w:szCs w:val="20"/>
        </w:rPr>
      </w:pPr>
    </w:p>
    <w:p w14:paraId="1748818F" w14:textId="0E83129E" w:rsidR="2DCD9A74" w:rsidRDefault="009652D4" w:rsidP="2DCD9A74">
      <w:pPr>
        <w:rPr>
          <w:rFonts w:ascii="Verdana" w:eastAsia="Verdana" w:hAnsi="Verdana" w:cs="Verdana"/>
          <w:sz w:val="20"/>
          <w:szCs w:val="20"/>
        </w:rPr>
      </w:pPr>
      <w:r>
        <w:rPr>
          <w:rFonts w:ascii="Verdana" w:eastAsia="Verdana" w:hAnsi="Verdana" w:cs="Verdana"/>
          <w:sz w:val="20"/>
          <w:szCs w:val="20"/>
        </w:rPr>
        <w:t xml:space="preserve">Now, given </w:t>
      </w:r>
      <w:r w:rsidR="003825E3">
        <w:rPr>
          <w:rFonts w:ascii="Verdana" w:eastAsia="Verdana" w:hAnsi="Verdana" w:cs="Verdana"/>
          <w:sz w:val="20"/>
          <w:szCs w:val="20"/>
        </w:rPr>
        <w:t>a</w:t>
      </w:r>
      <w:r>
        <w:rPr>
          <w:rFonts w:ascii="Verdana" w:eastAsia="Verdana" w:hAnsi="Verdana" w:cs="Verdana"/>
          <w:sz w:val="20"/>
          <w:szCs w:val="20"/>
        </w:rPr>
        <w:t xml:space="preserve"> two-stage hurdle model, </w:t>
      </w:r>
      <w:r w:rsidR="00812683">
        <w:rPr>
          <w:rFonts w:ascii="Verdana" w:eastAsia="Verdana" w:hAnsi="Verdana" w:cs="Verdana"/>
          <w:sz w:val="20"/>
          <w:szCs w:val="20"/>
        </w:rPr>
        <w:t>when we estimate the model</w:t>
      </w:r>
      <w:r w:rsidR="000071A9">
        <w:rPr>
          <w:rFonts w:ascii="Verdana" w:eastAsia="Verdana" w:hAnsi="Verdana" w:cs="Verdana"/>
          <w:sz w:val="20"/>
          <w:szCs w:val="20"/>
        </w:rPr>
        <w:t xml:space="preserve"> using PROC MCMC</w:t>
      </w:r>
      <w:r w:rsidR="00C17499">
        <w:rPr>
          <w:rFonts w:ascii="Verdana" w:eastAsia="Verdana" w:hAnsi="Verdana" w:cs="Verdana"/>
          <w:sz w:val="20"/>
          <w:szCs w:val="20"/>
        </w:rPr>
        <w:t xml:space="preserve"> and request this procedure </w:t>
      </w:r>
      <w:r w:rsidR="000071A9">
        <w:rPr>
          <w:rFonts w:ascii="Verdana" w:eastAsia="Verdana" w:hAnsi="Verdana" w:cs="Verdana"/>
          <w:sz w:val="20"/>
          <w:szCs w:val="20"/>
        </w:rPr>
        <w:t>monitor the parameter</w:t>
      </w:r>
      <w:r w:rsidR="00812683">
        <w:rPr>
          <w:rFonts w:ascii="Verdana" w:eastAsia="Verdana" w:hAnsi="Verdana" w:cs="Verdana"/>
          <w:sz w:val="20"/>
          <w:szCs w:val="20"/>
        </w:rPr>
        <w:t xml:space="preserve"> </w:t>
      </w:r>
      <m:oMath>
        <m:r>
          <w:rPr>
            <w:rFonts w:ascii="Cambria Math" w:hAnsi="Cambria Math"/>
          </w:rPr>
          <m:t>p</m:t>
        </m:r>
      </m:oMath>
      <w:r w:rsidR="000071A9">
        <w:rPr>
          <w:rFonts w:ascii="Verdana" w:eastAsia="Verdana" w:hAnsi="Verdana" w:cs="Verdana"/>
        </w:rPr>
        <w:t xml:space="preserve"> </w:t>
      </w:r>
      <w:r w:rsidR="00C17499">
        <w:rPr>
          <w:rFonts w:ascii="Verdana" w:eastAsia="Verdana" w:hAnsi="Verdana" w:cs="Verdana"/>
          <w:sz w:val="20"/>
          <w:szCs w:val="20"/>
        </w:rPr>
        <w:t>during MCMC simulation. T</w:t>
      </w:r>
      <w:r w:rsidR="00E71222">
        <w:rPr>
          <w:rFonts w:ascii="Verdana" w:eastAsia="Verdana" w:hAnsi="Verdana" w:cs="Verdana"/>
          <w:sz w:val="20"/>
          <w:szCs w:val="20"/>
        </w:rPr>
        <w:t xml:space="preserve">he MCMC output will </w:t>
      </w:r>
      <w:r w:rsidR="003825E3">
        <w:rPr>
          <w:rFonts w:ascii="Verdana" w:eastAsia="Verdana" w:hAnsi="Verdana" w:cs="Verdana"/>
          <w:sz w:val="20"/>
          <w:szCs w:val="20"/>
        </w:rPr>
        <w:t xml:space="preserve">then </w:t>
      </w:r>
      <w:r w:rsidR="00E71222">
        <w:rPr>
          <w:rFonts w:ascii="Verdana" w:eastAsia="Verdana" w:hAnsi="Verdana" w:cs="Verdana"/>
          <w:sz w:val="20"/>
          <w:szCs w:val="20"/>
        </w:rPr>
        <w:t xml:space="preserve">tell us the probability that </w:t>
      </w:r>
      <m:oMath>
        <m:r>
          <w:rPr>
            <w:rFonts w:ascii="Cambria Math" w:hAnsi="Cambria Math"/>
          </w:rPr>
          <m:t>p=1</m:t>
        </m:r>
      </m:oMath>
      <w:r w:rsidR="00E71222">
        <w:rPr>
          <w:rFonts w:ascii="Verdana" w:eastAsia="Verdana" w:hAnsi="Verdana" w:cs="Verdana"/>
        </w:rPr>
        <w:t xml:space="preserve">, </w:t>
      </w:r>
      <w:r w:rsidR="00E71222">
        <w:rPr>
          <w:rFonts w:ascii="Verdana" w:eastAsia="Verdana" w:hAnsi="Verdana" w:cs="Verdana"/>
          <w:sz w:val="20"/>
          <w:szCs w:val="20"/>
        </w:rPr>
        <w:t>which means th</w:t>
      </w:r>
      <w:r w:rsidR="00C17499">
        <w:rPr>
          <w:rFonts w:ascii="Verdana" w:eastAsia="Verdana" w:hAnsi="Verdana" w:cs="Verdana"/>
          <w:sz w:val="20"/>
          <w:szCs w:val="20"/>
        </w:rPr>
        <w:t>e probability that these</w:t>
      </w:r>
      <w:r w:rsidR="00E71222">
        <w:rPr>
          <w:rFonts w:ascii="Verdana" w:eastAsia="Verdana" w:hAnsi="Verdana" w:cs="Verdana"/>
          <w:sz w:val="20"/>
          <w:szCs w:val="20"/>
        </w:rPr>
        <w:t xml:space="preserve"> data were generated by the alternate model instead of the null model. Once we obtain this probability, then we can </w:t>
      </w:r>
      <w:r w:rsidR="00486AEA">
        <w:rPr>
          <w:rFonts w:ascii="Verdana" w:eastAsia="Verdana" w:hAnsi="Verdana" w:cs="Verdana"/>
          <w:sz w:val="20"/>
          <w:szCs w:val="20"/>
        </w:rPr>
        <w:t>calculate the Bayes Factor with this probability such that:</w:t>
      </w:r>
    </w:p>
    <w:p w14:paraId="6C03D325" w14:textId="77777777" w:rsidR="00486AEA" w:rsidRDefault="00486AEA" w:rsidP="2DCD9A74">
      <w:pPr>
        <w:rPr>
          <w:rFonts w:ascii="Verdana" w:eastAsia="Verdana" w:hAnsi="Verdana" w:cs="Verdana"/>
          <w:sz w:val="20"/>
          <w:szCs w:val="20"/>
        </w:rPr>
      </w:pPr>
    </w:p>
    <w:p w14:paraId="3E1E0EC7" w14:textId="07F1A3C5" w:rsidR="00486AEA" w:rsidRDefault="00475307" w:rsidP="2DCD9A74">
      <w:pPr>
        <w:rPr>
          <w:rFonts w:ascii="Verdana" w:eastAsia="Verdana" w:hAnsi="Verdana" w:cs="Verdana"/>
          <w:sz w:val="20"/>
          <w:szCs w:val="20"/>
        </w:rPr>
      </w:pPr>
      <m:oMathPara>
        <m:oMath>
          <m:f>
            <m:fPr>
              <m:ctrlPr>
                <w:rPr>
                  <w:rFonts w:ascii="Cambria Math" w:eastAsia="Verdana" w:hAnsi="Cambria Math" w:cs="Verdana"/>
                  <w:i/>
                  <w:sz w:val="20"/>
                  <w:szCs w:val="20"/>
                </w:rPr>
              </m:ctrlPr>
            </m:fPr>
            <m:num>
              <m:r>
                <w:rPr>
                  <w:rFonts w:ascii="Cambria Math" w:eastAsia="Verdana" w:hAnsi="Cambria Math" w:cs="Verdana"/>
                  <w:sz w:val="20"/>
                  <w:szCs w:val="20"/>
                </w:rPr>
                <m:t>Prob</m:t>
              </m:r>
              <m:d>
                <m:dPr>
                  <m:ctrlPr>
                    <w:rPr>
                      <w:rFonts w:ascii="Cambria Math" w:eastAsia="Verdana" w:hAnsi="Cambria Math" w:cs="Verdana"/>
                      <w:i/>
                      <w:sz w:val="20"/>
                      <w:szCs w:val="20"/>
                    </w:rPr>
                  </m:ctrlPr>
                </m:dPr>
                <m:e>
                  <m:r>
                    <w:rPr>
                      <w:rFonts w:ascii="Cambria Math" w:eastAsia="Verdana" w:hAnsi="Cambria Math" w:cs="Verdana"/>
                      <w:sz w:val="20"/>
                      <w:szCs w:val="20"/>
                    </w:rPr>
                    <m:t>P</m:t>
                  </m:r>
                  <m:r>
                    <w:rPr>
                      <w:rFonts w:ascii="Cambria Math" w:eastAsia="Verdana" w:hAnsi="Cambria Math" w:cs="Verdana"/>
                      <w:sz w:val="20"/>
                      <w:szCs w:val="20"/>
                    </w:rPr>
                    <m:t>=1</m:t>
                  </m:r>
                </m:e>
              </m:d>
            </m:num>
            <m:den>
              <m:r>
                <w:rPr>
                  <w:rFonts w:ascii="Cambria Math" w:eastAsia="Verdana" w:hAnsi="Cambria Math" w:cs="Verdana"/>
                  <w:sz w:val="20"/>
                  <w:szCs w:val="20"/>
                </w:rPr>
                <m:t>1-</m:t>
              </m:r>
              <m:r>
                <w:rPr>
                  <w:rFonts w:ascii="Cambria Math" w:eastAsia="Verdana" w:hAnsi="Cambria Math" w:cs="Verdana"/>
                  <w:sz w:val="20"/>
                  <w:szCs w:val="20"/>
                </w:rPr>
                <m:t>Prob</m:t>
              </m:r>
              <m:d>
                <m:dPr>
                  <m:ctrlPr>
                    <w:rPr>
                      <w:rFonts w:ascii="Cambria Math" w:eastAsia="Verdana" w:hAnsi="Cambria Math" w:cs="Verdana"/>
                      <w:i/>
                      <w:sz w:val="20"/>
                      <w:szCs w:val="20"/>
                    </w:rPr>
                  </m:ctrlPr>
                </m:dPr>
                <m:e>
                  <m:r>
                    <w:rPr>
                      <w:rFonts w:ascii="Cambria Math" w:eastAsia="Verdana" w:hAnsi="Cambria Math" w:cs="Verdana"/>
                      <w:sz w:val="20"/>
                      <w:szCs w:val="20"/>
                    </w:rPr>
                    <m:t>P</m:t>
                  </m:r>
                  <m:r>
                    <w:rPr>
                      <w:rFonts w:ascii="Cambria Math" w:eastAsia="Verdana" w:hAnsi="Cambria Math" w:cs="Verdana"/>
                      <w:sz w:val="20"/>
                      <w:szCs w:val="20"/>
                    </w:rPr>
                    <m:t>=1</m:t>
                  </m:r>
                </m:e>
              </m:d>
            </m:den>
          </m:f>
          <m:r>
            <w:rPr>
              <w:rFonts w:ascii="Cambria Math" w:eastAsia="Verdana" w:hAnsi="Cambria Math" w:cs="Verdana"/>
              <w:sz w:val="20"/>
              <w:szCs w:val="20"/>
            </w:rPr>
            <m:t>=</m:t>
          </m:r>
          <m:r>
            <w:rPr>
              <w:rFonts w:ascii="Cambria Math" w:eastAsia="Verdana" w:hAnsi="Cambria Math" w:cs="Verdana"/>
              <w:sz w:val="20"/>
              <w:szCs w:val="20"/>
            </w:rPr>
            <m:t>BF</m:t>
          </m:r>
        </m:oMath>
      </m:oMathPara>
    </w:p>
    <w:p w14:paraId="3F0FB9E8" w14:textId="245B7CE7" w:rsidR="2DCD9A74" w:rsidRDefault="2DCD9A74" w:rsidP="2DCD9A74">
      <w:pPr>
        <w:rPr>
          <w:rFonts w:ascii="Verdana" w:eastAsia="Verdana" w:hAnsi="Verdana" w:cs="Verdana"/>
          <w:sz w:val="20"/>
          <w:szCs w:val="20"/>
        </w:rPr>
      </w:pPr>
    </w:p>
    <w:p w14:paraId="7E5DF6FB" w14:textId="393D7566" w:rsidR="004E0EF7" w:rsidRDefault="004E0EF7" w:rsidP="2DCD9A74">
      <w:pPr>
        <w:rPr>
          <w:rFonts w:ascii="Verdana" w:eastAsia="Verdana" w:hAnsi="Verdana" w:cs="Verdana"/>
          <w:sz w:val="20"/>
          <w:szCs w:val="20"/>
        </w:rPr>
      </w:pPr>
      <w:r>
        <w:rPr>
          <w:rFonts w:ascii="Verdana" w:eastAsia="Verdana" w:hAnsi="Verdana" w:cs="Verdana"/>
          <w:sz w:val="20"/>
          <w:szCs w:val="20"/>
        </w:rPr>
        <w:t xml:space="preserve">This equation </w:t>
      </w:r>
      <w:r w:rsidR="00C17499">
        <w:rPr>
          <w:rFonts w:ascii="Verdana" w:eastAsia="Verdana" w:hAnsi="Verdana" w:cs="Verdana"/>
          <w:sz w:val="20"/>
          <w:szCs w:val="20"/>
        </w:rPr>
        <w:t>holds</w:t>
      </w:r>
      <w:r w:rsidR="00BA71FD">
        <w:rPr>
          <w:rFonts w:ascii="Verdana" w:eastAsia="Verdana" w:hAnsi="Verdana" w:cs="Verdana"/>
          <w:sz w:val="20"/>
          <w:szCs w:val="20"/>
        </w:rPr>
        <w:t xml:space="preserve"> when we set </w:t>
      </w:r>
      <m:oMath>
        <m:r>
          <m:rPr>
            <m:sty m:val="p"/>
          </m:rPr>
          <w:rPr>
            <w:rFonts w:ascii="Cambria Math" w:hAnsi="Cambria Math"/>
          </w:rPr>
          <m:t>Φ</m:t>
        </m:r>
        <m:r>
          <w:rPr>
            <w:rFonts w:ascii="Cambria Math" w:eastAsia="Verdana" w:hAnsi="Cambria Math" w:cs="Verdana"/>
          </w:rPr>
          <m:t>=.5</m:t>
        </m:r>
      </m:oMath>
      <w:r w:rsidR="00BA71FD">
        <w:rPr>
          <w:rFonts w:ascii="Verdana" w:eastAsia="Verdana" w:hAnsi="Verdana" w:cs="Verdana"/>
        </w:rPr>
        <w:t xml:space="preserve"> </w:t>
      </w:r>
      <w:r w:rsidR="00BA71FD">
        <w:rPr>
          <w:rFonts w:ascii="Verdana" w:eastAsia="Verdana" w:hAnsi="Verdana" w:cs="Verdana"/>
          <w:sz w:val="20"/>
          <w:szCs w:val="20"/>
        </w:rPr>
        <w:t>because then only the</w:t>
      </w:r>
      <w:r w:rsidR="00591E3B">
        <w:rPr>
          <w:rFonts w:ascii="Verdana" w:eastAsia="Verdana" w:hAnsi="Verdana" w:cs="Verdana"/>
          <w:sz w:val="20"/>
          <w:szCs w:val="20"/>
        </w:rPr>
        <w:t xml:space="preserve"> relative likelihood of the data given models impacts Prob(P=1). </w:t>
      </w:r>
      <w:r w:rsidR="00986CD0">
        <w:rPr>
          <w:rFonts w:ascii="Verdana" w:eastAsia="Verdana" w:hAnsi="Verdana" w:cs="Verdana"/>
          <w:sz w:val="20"/>
          <w:szCs w:val="20"/>
        </w:rPr>
        <w:t>In other words,</w:t>
      </w:r>
      <w:r w:rsidR="00591E3B">
        <w:rPr>
          <w:rFonts w:ascii="Verdana" w:eastAsia="Verdana" w:hAnsi="Verdana" w:cs="Verdana"/>
          <w:sz w:val="20"/>
          <w:szCs w:val="20"/>
        </w:rPr>
        <w:t xml:space="preserve"> </w:t>
      </w:r>
      <m:oMath>
        <m:r>
          <w:rPr>
            <w:rFonts w:ascii="Cambria Math" w:eastAsia="Verdana" w:hAnsi="Cambria Math" w:cs="Verdana"/>
            <w:sz w:val="20"/>
            <w:szCs w:val="20"/>
          </w:rPr>
          <m:t>BF</m:t>
        </m:r>
      </m:oMath>
      <w:r w:rsidR="00986CD0">
        <w:rPr>
          <w:rFonts w:ascii="Verdana" w:eastAsia="Verdana" w:hAnsi="Verdana" w:cs="Verdana"/>
          <w:sz w:val="20"/>
          <w:szCs w:val="20"/>
        </w:rPr>
        <w:t xml:space="preserve"> tells us, in this case, how much likelier the data is to be generated by the alternate model </w:t>
      </w:r>
      <w:r w:rsidR="00700599">
        <w:rPr>
          <w:rFonts w:ascii="Verdana" w:eastAsia="Verdana" w:hAnsi="Verdana" w:cs="Verdana"/>
          <w:sz w:val="20"/>
          <w:szCs w:val="20"/>
        </w:rPr>
        <w:t xml:space="preserve">than the null model given both models had equal credibility apart from data. </w:t>
      </w:r>
    </w:p>
    <w:p w14:paraId="55C4F063" w14:textId="77777777" w:rsidR="00700599" w:rsidRDefault="00700599" w:rsidP="2DCD9A74">
      <w:pPr>
        <w:rPr>
          <w:rFonts w:ascii="Verdana" w:eastAsia="Verdana" w:hAnsi="Verdana" w:cs="Verdana"/>
          <w:sz w:val="20"/>
          <w:szCs w:val="20"/>
        </w:rPr>
      </w:pPr>
    </w:p>
    <w:p w14:paraId="36819196" w14:textId="3A10D598" w:rsidR="001F4F5A" w:rsidRDefault="001F4F5A" w:rsidP="001F4F5A">
      <w:pPr>
        <w:rPr>
          <w:rFonts w:ascii="Verdana" w:eastAsia="Verdana" w:hAnsi="Verdana" w:cs="Verdana"/>
          <w:b/>
          <w:bCs/>
          <w:sz w:val="20"/>
          <w:szCs w:val="20"/>
        </w:rPr>
      </w:pPr>
      <w:r>
        <w:rPr>
          <w:rFonts w:ascii="Verdana" w:eastAsia="Verdana" w:hAnsi="Verdana" w:cs="Verdana"/>
          <w:b/>
          <w:bCs/>
          <w:sz w:val="20"/>
          <w:szCs w:val="20"/>
        </w:rPr>
        <w:t xml:space="preserve">Handling Survey Weights </w:t>
      </w:r>
    </w:p>
    <w:p w14:paraId="2D2E6FDA" w14:textId="4F39DE57" w:rsidR="001F4F5A" w:rsidRDefault="001F4F5A" w:rsidP="001F4F5A">
      <w:pPr>
        <w:rPr>
          <w:rFonts w:ascii="Verdana" w:eastAsia="Verdana" w:hAnsi="Verdana" w:cs="Verdana"/>
          <w:b/>
          <w:bCs/>
          <w:sz w:val="20"/>
          <w:szCs w:val="20"/>
        </w:rPr>
      </w:pPr>
    </w:p>
    <w:p w14:paraId="1EDC951E" w14:textId="0AAB948E" w:rsidR="00B52C64" w:rsidRDefault="00C17499" w:rsidP="2DCD9A74">
      <w:pPr>
        <w:rPr>
          <w:rFonts w:ascii="Verdana" w:eastAsia="Verdana" w:hAnsi="Verdana" w:cs="Verdana"/>
          <w:sz w:val="20"/>
          <w:szCs w:val="20"/>
        </w:rPr>
      </w:pPr>
      <w:r>
        <w:rPr>
          <w:rFonts w:ascii="Verdana" w:eastAsia="Verdana" w:hAnsi="Verdana" w:cs="Verdana"/>
          <w:sz w:val="20"/>
          <w:szCs w:val="20"/>
        </w:rPr>
        <w:t>To take the extra step of deriving BF with sampling weights, a few words about sampling weights are in order. First, each observation had a sampling</w:t>
      </w:r>
      <w:r w:rsidR="00287D7D">
        <w:rPr>
          <w:rFonts w:ascii="Verdana" w:eastAsia="Verdana" w:hAnsi="Verdana" w:cs="Verdana"/>
          <w:sz w:val="20"/>
          <w:szCs w:val="20"/>
        </w:rPr>
        <w:t xml:space="preserve"> </w:t>
      </w:r>
      <w:r>
        <w:rPr>
          <w:rFonts w:ascii="Verdana" w:eastAsia="Verdana" w:hAnsi="Verdana" w:cs="Verdana"/>
          <w:sz w:val="20"/>
          <w:szCs w:val="20"/>
        </w:rPr>
        <w:t>weight. These sampling weights reflect proportions in the</w:t>
      </w:r>
      <w:r w:rsidR="00287D7D">
        <w:rPr>
          <w:rFonts w:ascii="Verdana" w:eastAsia="Verdana" w:hAnsi="Verdana" w:cs="Verdana"/>
          <w:sz w:val="20"/>
          <w:szCs w:val="20"/>
        </w:rPr>
        <w:t xml:space="preserve"> population of interest</w:t>
      </w:r>
      <w:r>
        <w:rPr>
          <w:rFonts w:ascii="Verdana" w:eastAsia="Verdana" w:hAnsi="Verdana" w:cs="Verdana"/>
          <w:sz w:val="20"/>
          <w:szCs w:val="20"/>
        </w:rPr>
        <w:t>. Second,</w:t>
      </w:r>
      <w:r w:rsidR="00287D7D">
        <w:rPr>
          <w:rFonts w:ascii="Verdana" w:eastAsia="Verdana" w:hAnsi="Verdana" w:cs="Verdana"/>
          <w:sz w:val="20"/>
          <w:szCs w:val="20"/>
        </w:rPr>
        <w:t xml:space="preserve"> </w:t>
      </w:r>
      <w:r w:rsidR="00B52C64">
        <w:rPr>
          <w:rFonts w:ascii="Verdana" w:eastAsia="Verdana" w:hAnsi="Verdana" w:cs="Verdana"/>
          <w:sz w:val="20"/>
          <w:szCs w:val="20"/>
        </w:rPr>
        <w:t xml:space="preserve">when estimating Bayes </w:t>
      </w:r>
      <w:r w:rsidR="00917074">
        <w:rPr>
          <w:rFonts w:ascii="Verdana" w:eastAsia="Verdana" w:hAnsi="Verdana" w:cs="Verdana"/>
          <w:sz w:val="20"/>
          <w:szCs w:val="20"/>
        </w:rPr>
        <w:t>Factor</w:t>
      </w:r>
      <w:r>
        <w:rPr>
          <w:rFonts w:ascii="Verdana" w:eastAsia="Verdana" w:hAnsi="Verdana" w:cs="Verdana"/>
          <w:sz w:val="20"/>
          <w:szCs w:val="20"/>
        </w:rPr>
        <w:t xml:space="preserve"> with sampling weights</w:t>
      </w:r>
      <w:r w:rsidR="00917074">
        <w:rPr>
          <w:rFonts w:ascii="Verdana" w:eastAsia="Verdana" w:hAnsi="Verdana" w:cs="Verdana"/>
          <w:sz w:val="20"/>
          <w:szCs w:val="20"/>
        </w:rPr>
        <w:t>,</w:t>
      </w:r>
      <w:r w:rsidR="00B52C64">
        <w:rPr>
          <w:rFonts w:ascii="Verdana" w:eastAsia="Verdana" w:hAnsi="Verdana" w:cs="Verdana"/>
          <w:sz w:val="20"/>
          <w:szCs w:val="20"/>
        </w:rPr>
        <w:t xml:space="preserve"> it is important to rescale the</w:t>
      </w:r>
      <w:r>
        <w:rPr>
          <w:rFonts w:ascii="Verdana" w:eastAsia="Verdana" w:hAnsi="Verdana" w:cs="Verdana"/>
          <w:sz w:val="20"/>
          <w:szCs w:val="20"/>
        </w:rPr>
        <w:t>se</w:t>
      </w:r>
      <w:r w:rsidR="00B52C64">
        <w:rPr>
          <w:rFonts w:ascii="Verdana" w:eastAsia="Verdana" w:hAnsi="Verdana" w:cs="Verdana"/>
          <w:sz w:val="20"/>
          <w:szCs w:val="20"/>
        </w:rPr>
        <w:t xml:space="preserve"> sampling weights so that they sum to the </w:t>
      </w:r>
      <w:r>
        <w:rPr>
          <w:rFonts w:ascii="Verdana" w:eastAsia="Verdana" w:hAnsi="Verdana" w:cs="Verdana"/>
          <w:sz w:val="20"/>
          <w:szCs w:val="20"/>
        </w:rPr>
        <w:t>actual sample size</w:t>
      </w:r>
      <w:r w:rsidR="00B52C64">
        <w:rPr>
          <w:rFonts w:ascii="Verdana" w:eastAsia="Verdana" w:hAnsi="Verdana" w:cs="Verdana"/>
          <w:sz w:val="20"/>
          <w:szCs w:val="20"/>
        </w:rPr>
        <w:t xml:space="preserve"> </w:t>
      </w:r>
      <w:r w:rsidR="00682B6E">
        <w:rPr>
          <w:rFonts w:ascii="Verdana" w:eastAsia="Verdana" w:hAnsi="Verdana" w:cs="Verdana"/>
          <w:sz w:val="20"/>
          <w:szCs w:val="20"/>
        </w:rPr>
        <w:t xml:space="preserve">available for </w:t>
      </w:r>
      <w:r w:rsidR="00B52C64">
        <w:rPr>
          <w:rFonts w:ascii="Verdana" w:eastAsia="Verdana" w:hAnsi="Verdana" w:cs="Verdana"/>
          <w:sz w:val="20"/>
          <w:szCs w:val="20"/>
        </w:rPr>
        <w:t>the analysis</w:t>
      </w:r>
      <w:r>
        <w:rPr>
          <w:rFonts w:ascii="Verdana" w:eastAsia="Verdana" w:hAnsi="Verdana" w:cs="Verdana"/>
          <w:sz w:val="20"/>
          <w:szCs w:val="20"/>
        </w:rPr>
        <w:t xml:space="preserve"> while still reflecting proportions in the population of interest</w:t>
      </w:r>
      <w:r w:rsidR="00B52C64">
        <w:rPr>
          <w:rFonts w:ascii="Verdana" w:eastAsia="Verdana" w:hAnsi="Verdana" w:cs="Verdana"/>
          <w:sz w:val="20"/>
          <w:szCs w:val="20"/>
        </w:rPr>
        <w:t>. This is an important consideration, because</w:t>
      </w:r>
      <w:r w:rsidR="00917074">
        <w:rPr>
          <w:rFonts w:ascii="Verdana" w:eastAsia="Verdana" w:hAnsi="Verdana" w:cs="Verdana"/>
          <w:sz w:val="20"/>
          <w:szCs w:val="20"/>
        </w:rPr>
        <w:t xml:space="preserve"> </w:t>
      </w:r>
      <w:r>
        <w:rPr>
          <w:rFonts w:ascii="Verdana" w:eastAsia="Verdana" w:hAnsi="Verdana" w:cs="Verdana"/>
          <w:sz w:val="20"/>
          <w:szCs w:val="20"/>
        </w:rPr>
        <w:t>if one forgets to rescale sampling weights to sum to the sampling size and weighs sum to the population size then BF value (incorrectly) assume the accessible sample size really equals the population size</w:t>
      </w:r>
      <w:r w:rsidR="00B52C64">
        <w:rPr>
          <w:rFonts w:ascii="Verdana" w:eastAsia="Verdana" w:hAnsi="Verdana" w:cs="Verdana"/>
          <w:sz w:val="20"/>
          <w:szCs w:val="20"/>
        </w:rPr>
        <w:t xml:space="preserve">. In fact, this type of rescaling occurs often behind the scenes </w:t>
      </w:r>
      <w:r>
        <w:rPr>
          <w:rFonts w:ascii="Verdana" w:eastAsia="Verdana" w:hAnsi="Verdana" w:cs="Verdana"/>
          <w:sz w:val="20"/>
          <w:szCs w:val="20"/>
        </w:rPr>
        <w:t>in other procedures where users can request weights as a default option</w:t>
      </w:r>
      <w:r w:rsidR="00B52C64">
        <w:rPr>
          <w:rFonts w:ascii="Verdana" w:eastAsia="Verdana" w:hAnsi="Verdana" w:cs="Verdana"/>
          <w:sz w:val="20"/>
          <w:szCs w:val="20"/>
        </w:rPr>
        <w:t xml:space="preserve">. </w:t>
      </w:r>
      <w:r w:rsidR="00C87E99">
        <w:rPr>
          <w:rFonts w:ascii="Verdana" w:eastAsia="Verdana" w:hAnsi="Verdana" w:cs="Verdana"/>
          <w:sz w:val="20"/>
          <w:szCs w:val="20"/>
        </w:rPr>
        <w:t>T</w:t>
      </w:r>
      <w:r w:rsidR="00917074">
        <w:rPr>
          <w:rFonts w:ascii="Verdana" w:eastAsia="Verdana" w:hAnsi="Verdana" w:cs="Verdana"/>
          <w:sz w:val="20"/>
          <w:szCs w:val="20"/>
        </w:rPr>
        <w:t xml:space="preserve">o conduct </w:t>
      </w:r>
      <w:r w:rsidR="00C87E99">
        <w:rPr>
          <w:rFonts w:ascii="Verdana" w:eastAsia="Verdana" w:hAnsi="Verdana" w:cs="Verdana"/>
          <w:sz w:val="20"/>
          <w:szCs w:val="20"/>
        </w:rPr>
        <w:t xml:space="preserve">this </w:t>
      </w:r>
      <w:r w:rsidR="00917074">
        <w:rPr>
          <w:rFonts w:ascii="Verdana" w:eastAsia="Verdana" w:hAnsi="Verdana" w:cs="Verdana"/>
          <w:sz w:val="20"/>
          <w:szCs w:val="20"/>
        </w:rPr>
        <w:t xml:space="preserve">data pre-processing </w:t>
      </w:r>
      <w:r>
        <w:rPr>
          <w:rFonts w:ascii="Verdana" w:eastAsia="Verdana" w:hAnsi="Verdana" w:cs="Verdana"/>
          <w:sz w:val="20"/>
          <w:szCs w:val="20"/>
        </w:rPr>
        <w:t>step</w:t>
      </w:r>
      <w:r w:rsidR="00315C10">
        <w:rPr>
          <w:rFonts w:ascii="Verdana" w:eastAsia="Verdana" w:hAnsi="Verdana" w:cs="Verdana"/>
          <w:sz w:val="20"/>
          <w:szCs w:val="20"/>
        </w:rPr>
        <w:t>, one</w:t>
      </w:r>
      <w:r w:rsidR="00917074">
        <w:rPr>
          <w:rFonts w:ascii="Verdana" w:eastAsia="Verdana" w:hAnsi="Verdana" w:cs="Verdana"/>
          <w:sz w:val="20"/>
          <w:szCs w:val="20"/>
        </w:rPr>
        <w:t xml:space="preserve"> </w:t>
      </w:r>
      <w:r w:rsidR="00315C10">
        <w:rPr>
          <w:rFonts w:ascii="Verdana" w:eastAsia="Verdana" w:hAnsi="Verdana" w:cs="Verdana"/>
          <w:sz w:val="20"/>
          <w:szCs w:val="20"/>
        </w:rPr>
        <w:t xml:space="preserve">can rescale sample weights by </w:t>
      </w:r>
      <w:r w:rsidR="00917074">
        <w:rPr>
          <w:rFonts w:ascii="Verdana" w:eastAsia="Verdana" w:hAnsi="Verdana" w:cs="Verdana"/>
          <w:sz w:val="20"/>
          <w:szCs w:val="20"/>
        </w:rPr>
        <w:t>tak</w:t>
      </w:r>
      <w:r w:rsidR="00315C10">
        <w:rPr>
          <w:rFonts w:ascii="Verdana" w:eastAsia="Verdana" w:hAnsi="Verdana" w:cs="Verdana"/>
          <w:sz w:val="20"/>
          <w:szCs w:val="20"/>
        </w:rPr>
        <w:t>ing</w:t>
      </w:r>
      <w:r w:rsidR="00917074">
        <w:rPr>
          <w:rFonts w:ascii="Verdana" w:eastAsia="Verdana" w:hAnsi="Verdana" w:cs="Verdana"/>
          <w:sz w:val="20"/>
          <w:szCs w:val="20"/>
        </w:rPr>
        <w:t xml:space="preserve"> the ratio of </w:t>
      </w:r>
      <w:r w:rsidR="00315C10">
        <w:rPr>
          <w:rFonts w:ascii="Verdana" w:eastAsia="Verdana" w:hAnsi="Verdana" w:cs="Verdana"/>
          <w:sz w:val="20"/>
          <w:szCs w:val="20"/>
        </w:rPr>
        <w:t>sample size (i.e., number of observations)</w:t>
      </w:r>
      <w:r w:rsidR="00917074">
        <w:rPr>
          <w:rFonts w:ascii="Verdana" w:eastAsia="Verdana" w:hAnsi="Verdana" w:cs="Verdana"/>
          <w:sz w:val="20"/>
          <w:szCs w:val="20"/>
        </w:rPr>
        <w:t xml:space="preserve"> over the sum of </w:t>
      </w:r>
      <w:r w:rsidR="00315C10">
        <w:rPr>
          <w:rFonts w:ascii="Verdana" w:eastAsia="Verdana" w:hAnsi="Verdana" w:cs="Verdana"/>
          <w:sz w:val="20"/>
          <w:szCs w:val="20"/>
        </w:rPr>
        <w:t xml:space="preserve">original </w:t>
      </w:r>
      <w:r w:rsidR="00917074">
        <w:rPr>
          <w:rFonts w:ascii="Verdana" w:eastAsia="Verdana" w:hAnsi="Verdana" w:cs="Verdana"/>
          <w:sz w:val="20"/>
          <w:szCs w:val="20"/>
        </w:rPr>
        <w:t>weights and multiply this ratio by the original weights</w:t>
      </w:r>
      <w:r w:rsidR="00682B6E">
        <w:rPr>
          <w:rFonts w:ascii="Verdana" w:eastAsia="Verdana" w:hAnsi="Verdana" w:cs="Verdana"/>
          <w:sz w:val="20"/>
          <w:szCs w:val="20"/>
        </w:rPr>
        <w:t>:</w:t>
      </w:r>
    </w:p>
    <w:p w14:paraId="605B6F8E" w14:textId="1E2EAA2E" w:rsidR="00C87E99" w:rsidRDefault="00475307" w:rsidP="2DCD9A74">
      <w:pPr>
        <w:rPr>
          <w:rFonts w:ascii="Verdana" w:eastAsia="Verdana" w:hAnsi="Verdana" w:cs="Verdana"/>
          <w:sz w:val="20"/>
          <w:szCs w:val="20"/>
        </w:rPr>
      </w:pPr>
      <m:oMathPara>
        <m:oMath>
          <m:sSub>
            <m:sSubPr>
              <m:ctrlPr>
                <w:rPr>
                  <w:rFonts w:ascii="Cambria Math" w:eastAsia="Verdana" w:hAnsi="Cambria Math" w:cs="Verdana"/>
                  <w:i/>
                  <w:sz w:val="20"/>
                  <w:szCs w:val="20"/>
                </w:rPr>
              </m:ctrlPr>
            </m:sSubPr>
            <m:e>
              <m:r>
                <w:rPr>
                  <w:rFonts w:ascii="Cambria Math" w:eastAsia="Verdana" w:hAnsi="Cambria Math" w:cs="Verdana"/>
                  <w:sz w:val="20"/>
                  <w:szCs w:val="20"/>
                </w:rPr>
                <m:t>Rescaled.w</m:t>
              </m:r>
            </m:e>
            <m:sub>
              <m:r>
                <w:rPr>
                  <w:rFonts w:ascii="Cambria Math" w:eastAsia="Verdana" w:hAnsi="Cambria Math" w:cs="Verdana"/>
                  <w:sz w:val="20"/>
                  <w:szCs w:val="20"/>
                </w:rPr>
                <m:t>i</m:t>
              </m:r>
            </m:sub>
          </m:sSub>
          <m:r>
            <w:rPr>
              <w:rFonts w:ascii="Cambria Math" w:eastAsia="Verdana" w:hAnsi="Cambria Math" w:cs="Verdana"/>
              <w:sz w:val="20"/>
              <w:szCs w:val="20"/>
            </w:rPr>
            <m:t>=</m:t>
          </m:r>
          <m:sSub>
            <m:sSubPr>
              <m:ctrlPr>
                <w:rPr>
                  <w:rFonts w:ascii="Cambria Math" w:eastAsia="Verdana" w:hAnsi="Cambria Math" w:cs="Verdana"/>
                  <w:i/>
                  <w:sz w:val="20"/>
                  <w:szCs w:val="20"/>
                </w:rPr>
              </m:ctrlPr>
            </m:sSubPr>
            <m:e>
              <m:r>
                <w:rPr>
                  <w:rFonts w:ascii="Cambria Math" w:eastAsia="Verdana" w:hAnsi="Cambria Math" w:cs="Verdana"/>
                  <w:sz w:val="20"/>
                  <w:szCs w:val="20"/>
                </w:rPr>
                <m:t>Original.w</m:t>
              </m:r>
            </m:e>
            <m:sub>
              <m:r>
                <w:rPr>
                  <w:rFonts w:ascii="Cambria Math" w:eastAsia="Verdana" w:hAnsi="Cambria Math" w:cs="Verdana"/>
                  <w:sz w:val="20"/>
                  <w:szCs w:val="20"/>
                </w:rPr>
                <m:t>i</m:t>
              </m:r>
            </m:sub>
          </m:sSub>
          <m:r>
            <w:rPr>
              <w:rFonts w:ascii="Cambria Math" w:eastAsia="Verdana" w:hAnsi="Cambria Math" w:cs="Verdana"/>
              <w:sz w:val="20"/>
              <w:szCs w:val="20"/>
            </w:rPr>
            <m:t>*</m:t>
          </m:r>
          <m:f>
            <m:fPr>
              <m:ctrlPr>
                <w:rPr>
                  <w:rFonts w:ascii="Cambria Math" w:eastAsia="Verdana" w:hAnsi="Cambria Math" w:cs="Verdana"/>
                  <w:i/>
                  <w:sz w:val="20"/>
                  <w:szCs w:val="20"/>
                </w:rPr>
              </m:ctrlPr>
            </m:fPr>
            <m:num>
              <m:r>
                <w:rPr>
                  <w:rFonts w:ascii="Cambria Math" w:eastAsia="Verdana" w:hAnsi="Cambria Math" w:cs="Verdana"/>
                  <w:sz w:val="20"/>
                  <w:szCs w:val="20"/>
                </w:rPr>
                <m:t>n</m:t>
              </m:r>
            </m:num>
            <m:den>
              <m:nary>
                <m:naryPr>
                  <m:chr m:val="∑"/>
                  <m:limLoc m:val="undOvr"/>
                  <m:ctrlPr>
                    <w:rPr>
                      <w:rFonts w:ascii="Cambria Math" w:eastAsia="Verdana" w:hAnsi="Cambria Math" w:cs="Verdana"/>
                      <w:i/>
                      <w:sz w:val="20"/>
                      <w:szCs w:val="20"/>
                    </w:rPr>
                  </m:ctrlPr>
                </m:naryPr>
                <m:sub>
                  <m:r>
                    <w:rPr>
                      <w:rFonts w:ascii="Cambria Math" w:eastAsia="Verdana" w:hAnsi="Cambria Math" w:cs="Verdana"/>
                      <w:sz w:val="20"/>
                      <w:szCs w:val="20"/>
                    </w:rPr>
                    <m:t>i=1</m:t>
                  </m:r>
                </m:sub>
                <m:sup>
                  <m:r>
                    <w:rPr>
                      <w:rFonts w:ascii="Cambria Math" w:eastAsia="Verdana" w:hAnsi="Cambria Math" w:cs="Verdana"/>
                      <w:sz w:val="20"/>
                      <w:szCs w:val="20"/>
                    </w:rPr>
                    <m:t>n</m:t>
                  </m:r>
                </m:sup>
                <m:e>
                  <m:r>
                    <w:rPr>
                      <w:rFonts w:ascii="Cambria Math" w:eastAsia="Verdana" w:hAnsi="Cambria Math" w:cs="Verdana"/>
                      <w:sz w:val="20"/>
                      <w:szCs w:val="20"/>
                    </w:rPr>
                    <m:t>Original.w</m:t>
                  </m:r>
                </m:e>
              </m:nary>
            </m:den>
          </m:f>
          <m:r>
            <w:rPr>
              <w:rFonts w:ascii="Cambria Math" w:eastAsia="Verdana" w:hAnsi="Cambria Math" w:cs="Verdana"/>
              <w:sz w:val="20"/>
              <w:szCs w:val="20"/>
            </w:rPr>
            <m:t xml:space="preserve"> ,</m:t>
          </m:r>
        </m:oMath>
      </m:oMathPara>
    </w:p>
    <w:p w14:paraId="61DC5448" w14:textId="56F1D125" w:rsidR="00C063A9" w:rsidRDefault="00D26793" w:rsidP="2DCD9A74">
      <w:pPr>
        <w:rPr>
          <w:rFonts w:ascii="Verdana" w:eastAsia="Verdana" w:hAnsi="Verdana" w:cs="Verdana"/>
          <w:sz w:val="20"/>
          <w:szCs w:val="20"/>
        </w:rPr>
      </w:pPr>
      <w:r>
        <w:rPr>
          <w:rFonts w:ascii="Verdana" w:eastAsia="Verdana" w:hAnsi="Verdana" w:cs="Verdana"/>
          <w:sz w:val="20"/>
          <w:szCs w:val="20"/>
        </w:rPr>
        <w:t xml:space="preserve">where, </w:t>
      </w:r>
      <w:r w:rsidRPr="003825E3">
        <w:rPr>
          <w:rFonts w:ascii="Verdana" w:eastAsia="Verdana" w:hAnsi="Verdana" w:cs="Verdana"/>
          <w:i/>
          <w:iCs/>
          <w:sz w:val="20"/>
          <w:szCs w:val="20"/>
        </w:rPr>
        <w:t>i</w:t>
      </w:r>
      <w:r>
        <w:rPr>
          <w:rFonts w:ascii="Verdana" w:eastAsia="Verdana" w:hAnsi="Verdana" w:cs="Verdana"/>
          <w:sz w:val="20"/>
          <w:szCs w:val="20"/>
        </w:rPr>
        <w:t xml:space="preserve"> corresponds to observation i; </w:t>
      </w:r>
      <w:r w:rsidR="00D03609">
        <w:rPr>
          <w:rFonts w:ascii="Verdana" w:eastAsia="Verdana" w:hAnsi="Verdana" w:cs="Verdana"/>
          <w:sz w:val="20"/>
          <w:szCs w:val="20"/>
        </w:rPr>
        <w:t xml:space="preserve">and </w:t>
      </w:r>
      <w:r w:rsidRPr="003825E3">
        <w:rPr>
          <w:rFonts w:ascii="Verdana" w:eastAsia="Verdana" w:hAnsi="Verdana" w:cs="Verdana"/>
          <w:i/>
          <w:iCs/>
          <w:sz w:val="20"/>
          <w:szCs w:val="20"/>
        </w:rPr>
        <w:t>n</w:t>
      </w:r>
      <w:r>
        <w:rPr>
          <w:rFonts w:ascii="Verdana" w:eastAsia="Verdana" w:hAnsi="Verdana" w:cs="Verdana"/>
          <w:sz w:val="20"/>
          <w:szCs w:val="20"/>
        </w:rPr>
        <w:t xml:space="preserve"> corresponds to the number of observations available</w:t>
      </w:r>
      <w:r w:rsidR="00D03609">
        <w:rPr>
          <w:rFonts w:ascii="Verdana" w:eastAsia="Verdana" w:hAnsi="Verdana" w:cs="Verdana"/>
          <w:sz w:val="20"/>
          <w:szCs w:val="20"/>
        </w:rPr>
        <w:t xml:space="preserve">. By taking this approach it </w:t>
      </w:r>
      <w:r>
        <w:rPr>
          <w:rFonts w:ascii="Verdana" w:eastAsia="Verdana" w:hAnsi="Verdana" w:cs="Verdana"/>
          <w:sz w:val="20"/>
          <w:szCs w:val="20"/>
        </w:rPr>
        <w:t>ensures that the sum of the rescaled weights comes to the number of observations available</w:t>
      </w:r>
      <w:r w:rsidR="00315C10">
        <w:rPr>
          <w:rFonts w:ascii="Verdana" w:eastAsia="Verdana" w:hAnsi="Verdana" w:cs="Verdana"/>
          <w:sz w:val="20"/>
          <w:szCs w:val="20"/>
        </w:rPr>
        <w:t xml:space="preserve"> while still reflecting correct population proportions, which is the point of sampling weights</w:t>
      </w:r>
      <w:r w:rsidR="00D03609">
        <w:rPr>
          <w:rFonts w:ascii="Verdana" w:eastAsia="Verdana" w:hAnsi="Verdana" w:cs="Verdana"/>
          <w:sz w:val="20"/>
          <w:szCs w:val="20"/>
        </w:rPr>
        <w:t>.</w:t>
      </w:r>
      <w:r w:rsidR="00682B6E">
        <w:rPr>
          <w:rFonts w:ascii="Verdana" w:eastAsia="Verdana" w:hAnsi="Verdana" w:cs="Verdana"/>
          <w:sz w:val="20"/>
          <w:szCs w:val="20"/>
        </w:rPr>
        <w:t xml:space="preserve"> Afterwards, the likelihood function is multiplied by the</w:t>
      </w:r>
      <w:r w:rsidR="00315C10">
        <w:rPr>
          <w:rFonts w:ascii="Verdana" w:eastAsia="Verdana" w:hAnsi="Verdana" w:cs="Verdana"/>
          <w:sz w:val="20"/>
          <w:szCs w:val="20"/>
        </w:rPr>
        <w:t>se</w:t>
      </w:r>
      <w:r w:rsidR="00682B6E">
        <w:rPr>
          <w:rFonts w:ascii="Verdana" w:eastAsia="Verdana" w:hAnsi="Verdana" w:cs="Verdana"/>
          <w:sz w:val="20"/>
          <w:szCs w:val="20"/>
        </w:rPr>
        <w:t xml:space="preserve"> rescaled weights</w:t>
      </w:r>
      <w:r w:rsidR="00315C10">
        <w:rPr>
          <w:rFonts w:ascii="Verdana" w:eastAsia="Verdana" w:hAnsi="Verdana" w:cs="Verdana"/>
          <w:sz w:val="20"/>
          <w:szCs w:val="20"/>
        </w:rPr>
        <w:t xml:space="preserve"> so that output estimates reflect population proportions and standard errors reflect the actual sample size</w:t>
      </w:r>
      <w:r w:rsidR="00682B6E">
        <w:rPr>
          <w:rFonts w:ascii="Verdana" w:eastAsia="Verdana" w:hAnsi="Verdana" w:cs="Verdana"/>
          <w:sz w:val="20"/>
          <w:szCs w:val="20"/>
        </w:rPr>
        <w:t>.</w:t>
      </w:r>
    </w:p>
    <w:p w14:paraId="1B71A3C5" w14:textId="77777777" w:rsidR="00C17499" w:rsidRDefault="00C17499" w:rsidP="2DCD9A74">
      <w:pPr>
        <w:rPr>
          <w:rFonts w:ascii="Verdana" w:eastAsia="Verdana" w:hAnsi="Verdana" w:cs="Verdana"/>
          <w:sz w:val="20"/>
          <w:szCs w:val="20"/>
        </w:rPr>
      </w:pPr>
    </w:p>
    <w:p w14:paraId="425D5478" w14:textId="48F36BFF" w:rsidR="2DCD9A74" w:rsidRDefault="2DCD9A74" w:rsidP="2DCD9A74">
      <w:pPr>
        <w:spacing w:line="257" w:lineRule="auto"/>
      </w:pPr>
      <w:r w:rsidRPr="2DCD9A74">
        <w:rPr>
          <w:rFonts w:ascii="Verdana" w:eastAsia="Verdana" w:hAnsi="Verdana" w:cs="Verdana"/>
          <w:b/>
          <w:bCs/>
          <w:caps/>
          <w:color w:val="548DD4" w:themeColor="text2" w:themeTint="99"/>
          <w:sz w:val="24"/>
          <w:szCs w:val="24"/>
        </w:rPr>
        <w:t>APPLIED EXAMPLE</w:t>
      </w:r>
      <w:r w:rsidR="002E4DA5">
        <w:rPr>
          <w:rFonts w:ascii="Verdana" w:eastAsia="Verdana" w:hAnsi="Verdana" w:cs="Verdana"/>
          <w:b/>
          <w:bCs/>
          <w:caps/>
          <w:color w:val="548DD4" w:themeColor="text2" w:themeTint="99"/>
          <w:sz w:val="24"/>
          <w:szCs w:val="24"/>
        </w:rPr>
        <w:t xml:space="preserve"> WITH ANNOATED CODE</w:t>
      </w:r>
    </w:p>
    <w:p w14:paraId="7028B19F" w14:textId="2A8655BD" w:rsidR="2DCD9A74" w:rsidRDefault="2DCD9A74" w:rsidP="2DCD9A74">
      <w:pPr>
        <w:spacing w:line="257" w:lineRule="auto"/>
        <w:rPr>
          <w:rFonts w:eastAsia="Calibri"/>
          <w:b/>
          <w:bCs/>
          <w:caps/>
          <w:color w:val="548DD4" w:themeColor="text2" w:themeTint="99"/>
        </w:rPr>
      </w:pPr>
    </w:p>
    <w:p w14:paraId="483DF7AD" w14:textId="749821E1" w:rsidR="2DCD9A74" w:rsidRDefault="2DCD9A74" w:rsidP="2DCD9A74">
      <w:pPr>
        <w:spacing w:line="257" w:lineRule="auto"/>
      </w:pPr>
      <w:r w:rsidRPr="2DCD9A74">
        <w:rPr>
          <w:rFonts w:ascii="Verdana" w:eastAsia="Verdana" w:hAnsi="Verdana" w:cs="Verdana"/>
          <w:sz w:val="20"/>
          <w:szCs w:val="20"/>
        </w:rPr>
        <w:t xml:space="preserve">Our illustration of estimating Bayes Factor </w:t>
      </w:r>
      <w:r w:rsidR="00315C10">
        <w:rPr>
          <w:rFonts w:ascii="Verdana" w:eastAsia="Verdana" w:hAnsi="Verdana" w:cs="Verdana"/>
          <w:sz w:val="20"/>
          <w:szCs w:val="20"/>
        </w:rPr>
        <w:t xml:space="preserve">with sampling weights </w:t>
      </w:r>
      <w:r w:rsidRPr="2DCD9A74">
        <w:rPr>
          <w:rFonts w:ascii="Verdana" w:eastAsia="Verdana" w:hAnsi="Verdana" w:cs="Verdana"/>
          <w:sz w:val="20"/>
          <w:szCs w:val="20"/>
        </w:rPr>
        <w:t xml:space="preserve">using PROC MCMC comes from the field of Special Education and concerns the transition of adolescents from secondary school to post-secondary education and/or careers. Beginning in 1985, the U.S. Department of Education started an initiative to investigate post-school outcomes, secondary school experiences, and characteristics of student with disabilities being served in the United States. To date, there have been three iterations of the National Longitudinal Transition Study with the first spanning from 1985 to 1990 (NLTS), the second spanning from 2001 to 2011 (NLTS2), and most recently from 2011 to 2014 (NLTS2012). For each iteration, a complex sampling scheme was used which considered locale (e.g., school districts), district enrollment size, and district socio-economic status. These nationally representative datasets are rich with information at the district level, parent perspective, and student perspective. Due to the sensitivity of the data sets, restricted-use licenses can be obtained from </w:t>
      </w:r>
      <w:hyperlink r:id="rId11">
        <w:r w:rsidRPr="2DCD9A74">
          <w:rPr>
            <w:rStyle w:val="Hyperlink"/>
            <w:rFonts w:ascii="Verdana" w:eastAsia="Verdana" w:hAnsi="Verdana" w:cs="Verdana"/>
            <w:sz w:val="20"/>
            <w:szCs w:val="20"/>
          </w:rPr>
          <w:t>https://nces.ed.gov/pubsearch/licenses.asp</w:t>
        </w:r>
      </w:hyperlink>
      <w:r w:rsidRPr="2DCD9A74">
        <w:rPr>
          <w:rFonts w:ascii="Verdana" w:eastAsia="Verdana" w:hAnsi="Verdana" w:cs="Verdana"/>
          <w:sz w:val="20"/>
          <w:szCs w:val="20"/>
        </w:rPr>
        <w:t>. To illustrate the estimation and use of Bayes Factor using PROC MCMC, we will focus on the most recent iteration, the NLTS2012. In this iteration, participants were sampled from 43</w:t>
      </w:r>
      <w:r w:rsidR="007F38C6">
        <w:rPr>
          <w:rFonts w:ascii="Verdana" w:eastAsia="Verdana" w:hAnsi="Verdana" w:cs="Verdana"/>
          <w:sz w:val="20"/>
          <w:szCs w:val="20"/>
        </w:rPr>
        <w:t>2</w:t>
      </w:r>
      <w:r w:rsidRPr="2DCD9A74">
        <w:rPr>
          <w:rFonts w:ascii="Verdana" w:eastAsia="Verdana" w:hAnsi="Verdana" w:cs="Verdana"/>
          <w:sz w:val="20"/>
          <w:szCs w:val="20"/>
        </w:rPr>
        <w:t xml:space="preserve"> school districts and in total, is comprised of </w:t>
      </w:r>
      <w:r w:rsidR="007F38C6">
        <w:rPr>
          <w:rFonts w:ascii="Verdana" w:eastAsia="Verdana" w:hAnsi="Verdana" w:cs="Verdana"/>
          <w:sz w:val="20"/>
          <w:szCs w:val="20"/>
        </w:rPr>
        <w:t xml:space="preserve">17,476 </w:t>
      </w:r>
      <w:r w:rsidRPr="2DCD9A74">
        <w:rPr>
          <w:rFonts w:ascii="Verdana" w:eastAsia="Verdana" w:hAnsi="Verdana" w:cs="Verdana"/>
          <w:sz w:val="20"/>
          <w:szCs w:val="20"/>
        </w:rPr>
        <w:t xml:space="preserve">students with disabilities spanning all 12 IDEA disability categories stratified by age, as well as </w:t>
      </w:r>
      <w:r w:rsidR="007F38C6">
        <w:rPr>
          <w:rFonts w:ascii="Verdana" w:eastAsia="Verdana" w:hAnsi="Verdana" w:cs="Verdana"/>
          <w:sz w:val="20"/>
          <w:szCs w:val="20"/>
        </w:rPr>
        <w:t xml:space="preserve">4,483 </w:t>
      </w:r>
      <w:r w:rsidRPr="2DCD9A74">
        <w:rPr>
          <w:rFonts w:ascii="Verdana" w:eastAsia="Verdana" w:hAnsi="Verdana" w:cs="Verdana"/>
          <w:sz w:val="20"/>
          <w:szCs w:val="20"/>
        </w:rPr>
        <w:t>students without disabilities</w:t>
      </w:r>
      <w:r w:rsidR="007F38C6">
        <w:rPr>
          <w:rFonts w:ascii="Verdana" w:eastAsia="Verdana" w:hAnsi="Verdana" w:cs="Verdana"/>
          <w:sz w:val="20"/>
          <w:szCs w:val="20"/>
        </w:rPr>
        <w:t xml:space="preserve"> – </w:t>
      </w:r>
      <w:r w:rsidR="00886115">
        <w:rPr>
          <w:rFonts w:ascii="Verdana" w:eastAsia="Verdana" w:hAnsi="Verdana" w:cs="Verdana"/>
          <w:sz w:val="20"/>
          <w:szCs w:val="20"/>
        </w:rPr>
        <w:t xml:space="preserve">for more information about the NLTS2012 </w:t>
      </w:r>
      <w:r w:rsidR="007F38C6">
        <w:rPr>
          <w:rFonts w:ascii="Verdana" w:eastAsia="Verdana" w:hAnsi="Verdana" w:cs="Verdana"/>
          <w:sz w:val="20"/>
          <w:szCs w:val="20"/>
        </w:rPr>
        <w:t>see Burg</w:t>
      </w:r>
      <w:r w:rsidR="001C7839">
        <w:rPr>
          <w:rFonts w:ascii="Verdana" w:eastAsia="Verdana" w:hAnsi="Verdana" w:cs="Verdana"/>
          <w:sz w:val="20"/>
          <w:szCs w:val="20"/>
        </w:rPr>
        <w:t>hardt et al., (2017)</w:t>
      </w:r>
      <w:r w:rsidRPr="2DCD9A74">
        <w:rPr>
          <w:rFonts w:ascii="Verdana" w:eastAsia="Verdana" w:hAnsi="Verdana" w:cs="Verdana"/>
          <w:sz w:val="20"/>
          <w:szCs w:val="20"/>
        </w:rPr>
        <w:t>.</w:t>
      </w:r>
    </w:p>
    <w:p w14:paraId="3E3D8658" w14:textId="76306D42" w:rsidR="2DCD9A74" w:rsidRDefault="2DCD9A74" w:rsidP="2DCD9A74">
      <w:pPr>
        <w:pStyle w:val="PaperBody"/>
      </w:pPr>
    </w:p>
    <w:p w14:paraId="0A5663F1" w14:textId="1E8B13C5" w:rsidR="2DCD9A74" w:rsidRDefault="2DCD9A74" w:rsidP="2DCD9A74">
      <w:pPr>
        <w:pStyle w:val="Heading2"/>
        <w:rPr>
          <w:bCs/>
          <w:szCs w:val="22"/>
        </w:rPr>
      </w:pPr>
      <w:r w:rsidRPr="2DCD9A74">
        <w:t>CONTEXT</w:t>
      </w:r>
    </w:p>
    <w:p w14:paraId="0574D1CC" w14:textId="01786789" w:rsidR="2DCD9A74" w:rsidRDefault="2DCD9A74" w:rsidP="2DCD9A74">
      <w:pPr>
        <w:spacing w:line="259" w:lineRule="auto"/>
        <w:rPr>
          <w:rFonts w:eastAsia="Calibri"/>
        </w:rPr>
      </w:pPr>
      <w:r w:rsidRPr="2DCD9A74">
        <w:rPr>
          <w:rFonts w:ascii="Verdana" w:eastAsia="Verdana" w:hAnsi="Verdana" w:cs="Verdana"/>
          <w:sz w:val="20"/>
          <w:szCs w:val="20"/>
        </w:rPr>
        <w:t xml:space="preserve">Our specific example stems from a recently published registered report in </w:t>
      </w:r>
      <w:r w:rsidRPr="2DCD9A74">
        <w:rPr>
          <w:rFonts w:ascii="Verdana" w:eastAsia="Verdana" w:hAnsi="Verdana" w:cs="Verdana"/>
          <w:i/>
          <w:iCs/>
          <w:sz w:val="20"/>
          <w:szCs w:val="20"/>
        </w:rPr>
        <w:t>Exceptional Children</w:t>
      </w:r>
      <w:r w:rsidRPr="2DCD9A74">
        <w:rPr>
          <w:rFonts w:ascii="Verdana" w:eastAsia="Verdana" w:hAnsi="Verdana" w:cs="Verdana"/>
          <w:sz w:val="20"/>
          <w:szCs w:val="20"/>
        </w:rPr>
        <w:t xml:space="preserve"> by </w:t>
      </w:r>
      <w:r w:rsidR="00F96EE4">
        <w:rPr>
          <w:rFonts w:ascii="Verdana" w:eastAsia="Verdana" w:hAnsi="Verdana" w:cs="Verdana"/>
          <w:sz w:val="20"/>
          <w:szCs w:val="20"/>
        </w:rPr>
        <w:t>Lombardi et al., (2022)</w:t>
      </w:r>
      <w:r w:rsidRPr="2DCD9A74">
        <w:rPr>
          <w:rFonts w:ascii="Verdana" w:eastAsia="Verdana" w:hAnsi="Verdana" w:cs="Verdana"/>
          <w:sz w:val="20"/>
          <w:szCs w:val="20"/>
        </w:rPr>
        <w:t xml:space="preserve"> which received Open Science Badges for open data, open materials, and for pre-</w:t>
      </w:r>
      <w:r w:rsidR="00601B93" w:rsidRPr="2DCD9A74">
        <w:rPr>
          <w:rFonts w:ascii="Verdana" w:eastAsia="Verdana" w:hAnsi="Verdana" w:cs="Verdana"/>
          <w:sz w:val="20"/>
          <w:szCs w:val="20"/>
        </w:rPr>
        <w:t>registration</w:t>
      </w:r>
      <w:r w:rsidRPr="2DCD9A74">
        <w:rPr>
          <w:rFonts w:ascii="Verdana" w:eastAsia="Verdana" w:hAnsi="Verdana" w:cs="Verdana"/>
          <w:sz w:val="20"/>
          <w:szCs w:val="20"/>
        </w:rPr>
        <w:t xml:space="preserve"> </w:t>
      </w:r>
      <w:r w:rsidR="00601B93">
        <w:rPr>
          <w:rFonts w:ascii="Verdana" w:eastAsia="Verdana" w:hAnsi="Verdana" w:cs="Verdana"/>
          <w:sz w:val="20"/>
          <w:szCs w:val="20"/>
        </w:rPr>
        <w:t xml:space="preserve">of </w:t>
      </w:r>
      <w:r w:rsidRPr="2DCD9A74">
        <w:rPr>
          <w:rFonts w:ascii="Verdana" w:eastAsia="Verdana" w:hAnsi="Verdana" w:cs="Verdana"/>
          <w:sz w:val="20"/>
          <w:szCs w:val="20"/>
        </w:rPr>
        <w:t xml:space="preserve">the study and hypotheses – all relevant materials can be found at </w:t>
      </w:r>
      <w:hyperlink r:id="rId12" w:history="1">
        <w:r w:rsidR="00F96EE4" w:rsidRPr="00886115">
          <w:rPr>
            <w:rStyle w:val="Hyperlink"/>
            <w:rFonts w:ascii="Verdana" w:eastAsia="Verdana" w:hAnsi="Verdana" w:cs="Verdana"/>
            <w:sz w:val="20"/>
            <w:szCs w:val="20"/>
          </w:rPr>
          <w:t>https://osf.io/nk3w5/</w:t>
        </w:r>
      </w:hyperlink>
      <w:r w:rsidRPr="2DCD9A74">
        <w:rPr>
          <w:rFonts w:ascii="Verdana" w:eastAsia="Verdana" w:hAnsi="Verdana" w:cs="Verdana"/>
          <w:sz w:val="20"/>
          <w:szCs w:val="20"/>
        </w:rPr>
        <w:t xml:space="preserve">. In this registered report we were interested in examining whether the probability of receipt of college and career readiness (CCR) supports </w:t>
      </w:r>
      <w:r w:rsidRPr="2DCD9A74">
        <w:rPr>
          <w:rFonts w:ascii="Verdana" w:eastAsia="Verdana" w:hAnsi="Verdana" w:cs="Verdana"/>
          <w:sz w:val="20"/>
          <w:szCs w:val="20"/>
        </w:rPr>
        <w:lastRenderedPageBreak/>
        <w:t xml:space="preserve">differed based on disability type, race/ethnicity, household income, and the intersection of these characteristics. CCR supports were student-reported and were rated (yes/no; or numerically, 1/0): </w:t>
      </w:r>
      <w:r w:rsidRPr="2DCD9A74">
        <w:rPr>
          <w:rFonts w:ascii="Verdana" w:eastAsia="Verdana" w:hAnsi="Verdana" w:cs="Verdana"/>
          <w:i/>
          <w:iCs/>
          <w:sz w:val="20"/>
          <w:szCs w:val="20"/>
        </w:rPr>
        <w:t>help completing college applications</w:t>
      </w:r>
      <w:r w:rsidRPr="2DCD9A74">
        <w:rPr>
          <w:rFonts w:ascii="Verdana" w:eastAsia="Verdana" w:hAnsi="Verdana" w:cs="Verdana"/>
          <w:sz w:val="20"/>
          <w:szCs w:val="20"/>
        </w:rPr>
        <w:t xml:space="preserve"> (variable: K9c1); </w:t>
      </w:r>
      <w:r w:rsidRPr="2DCD9A74">
        <w:rPr>
          <w:rFonts w:ascii="Verdana" w:eastAsia="Verdana" w:hAnsi="Verdana" w:cs="Verdana"/>
          <w:i/>
          <w:iCs/>
          <w:sz w:val="20"/>
          <w:szCs w:val="20"/>
        </w:rPr>
        <w:t>help with course selection</w:t>
      </w:r>
      <w:r w:rsidRPr="2DCD9A74">
        <w:rPr>
          <w:rFonts w:ascii="Verdana" w:eastAsia="Verdana" w:hAnsi="Verdana" w:cs="Verdana"/>
          <w:sz w:val="20"/>
          <w:szCs w:val="20"/>
        </w:rPr>
        <w:t xml:space="preserve"> (variable: K9d1), </w:t>
      </w:r>
      <w:r w:rsidRPr="2DCD9A74">
        <w:rPr>
          <w:rFonts w:ascii="Verdana" w:eastAsia="Verdana" w:hAnsi="Verdana" w:cs="Verdana"/>
          <w:i/>
          <w:iCs/>
          <w:sz w:val="20"/>
          <w:szCs w:val="20"/>
        </w:rPr>
        <w:t>help reviewing college entrance exam results</w:t>
      </w:r>
      <w:r w:rsidRPr="2DCD9A74">
        <w:rPr>
          <w:rFonts w:ascii="Verdana" w:eastAsia="Verdana" w:hAnsi="Verdana" w:cs="Verdana"/>
          <w:sz w:val="20"/>
          <w:szCs w:val="20"/>
        </w:rPr>
        <w:t xml:space="preserve"> (variable: K9e1), and </w:t>
      </w:r>
      <w:r w:rsidRPr="2DCD9A74">
        <w:rPr>
          <w:rFonts w:ascii="Verdana" w:eastAsia="Verdana" w:hAnsi="Verdana" w:cs="Verdana"/>
          <w:i/>
          <w:iCs/>
          <w:sz w:val="20"/>
          <w:szCs w:val="20"/>
        </w:rPr>
        <w:t>help arranging college visits</w:t>
      </w:r>
      <w:r w:rsidRPr="2DCD9A74">
        <w:rPr>
          <w:rFonts w:ascii="Verdana" w:eastAsia="Verdana" w:hAnsi="Verdana" w:cs="Verdana"/>
          <w:sz w:val="20"/>
          <w:szCs w:val="20"/>
        </w:rPr>
        <w:t xml:space="preserve"> (variable: K9f1). We consulted the district variable (</w:t>
      </w:r>
      <w:proofErr w:type="spellStart"/>
      <w:r w:rsidRPr="2DCD9A74">
        <w:rPr>
          <w:rFonts w:ascii="Verdana" w:eastAsia="Verdana" w:hAnsi="Verdana" w:cs="Verdana"/>
          <w:sz w:val="20"/>
          <w:szCs w:val="20"/>
        </w:rPr>
        <w:t>d_y_disability</w:t>
      </w:r>
      <w:proofErr w:type="spellEnd"/>
      <w:r w:rsidRPr="2DCD9A74">
        <w:rPr>
          <w:rFonts w:ascii="Verdana" w:eastAsia="Verdana" w:hAnsi="Verdana" w:cs="Verdana"/>
          <w:sz w:val="20"/>
          <w:szCs w:val="20"/>
        </w:rPr>
        <w:t>) to form nine groups of disability types: no disability, 504 plan, high incidence disabilities (e.g., specific learning disability), multiple disabilities, autism spectrum disorder, traumatic brain injury, sensory disabilities, orthopedic disabilities, and intellectual disability. For race/ethnicity, we used variables G2 (Hispanic, yes/no) and G3_01 through G3_05 to create the following six groups: White Hispanic, Black Hispanic, White non-Hispanic, Black non-Hispanic, Hispanic multiracial and other, non-Hispanic multiracial and other. For household income, we used the parent reported variable (</w:t>
      </w:r>
      <w:proofErr w:type="spellStart"/>
      <w:r w:rsidRPr="2DCD9A74">
        <w:rPr>
          <w:rFonts w:ascii="Verdana" w:eastAsia="Verdana" w:hAnsi="Verdana" w:cs="Verdana"/>
          <w:sz w:val="20"/>
          <w:szCs w:val="20"/>
        </w:rPr>
        <w:t>p_h_income</w:t>
      </w:r>
      <w:proofErr w:type="spellEnd"/>
      <w:r w:rsidRPr="2DCD9A74">
        <w:rPr>
          <w:rFonts w:ascii="Verdana" w:eastAsia="Verdana" w:hAnsi="Verdana" w:cs="Verdana"/>
          <w:sz w:val="20"/>
          <w:szCs w:val="20"/>
        </w:rPr>
        <w:t>) to form low-, middle-, and high-income household groups. Per the Stage-1 registered report, when evaluating the intersection of all three student characteristics, we were able to use 19 groups.</w:t>
      </w:r>
    </w:p>
    <w:p w14:paraId="66FB0C7A" w14:textId="0B3DF526" w:rsidR="2DCD9A74" w:rsidRDefault="2DCD9A74" w:rsidP="2DCD9A74">
      <w:pPr>
        <w:pStyle w:val="PaperBody"/>
      </w:pPr>
    </w:p>
    <w:p w14:paraId="31225F40" w14:textId="56BEF07E" w:rsidR="2DCD9A74" w:rsidRDefault="2DCD9A74">
      <w:r w:rsidRPr="2DCD9A74">
        <w:rPr>
          <w:rFonts w:ascii="Verdana" w:eastAsia="Verdana" w:hAnsi="Verdana" w:cs="Verdana"/>
          <w:b/>
          <w:bCs/>
          <w:sz w:val="24"/>
          <w:szCs w:val="24"/>
        </w:rPr>
        <w:t>ANALYTIC APPROACH</w:t>
      </w:r>
    </w:p>
    <w:p w14:paraId="1BC131B7" w14:textId="6C0E7193" w:rsidR="2DCD9A74" w:rsidRDefault="2DCD9A74" w:rsidP="2DCD9A74">
      <w:pPr>
        <w:rPr>
          <w:rFonts w:eastAsia="Calibri"/>
          <w:b/>
          <w:bCs/>
        </w:rPr>
      </w:pPr>
    </w:p>
    <w:p w14:paraId="51EBF789" w14:textId="2F2242D7" w:rsidR="2DCD9A74" w:rsidRDefault="2DCD9A74">
      <w:r w:rsidRPr="2DCD9A74">
        <w:rPr>
          <w:rFonts w:ascii="Verdana" w:eastAsia="Verdana" w:hAnsi="Verdana" w:cs="Verdana"/>
          <w:sz w:val="20"/>
          <w:szCs w:val="20"/>
        </w:rPr>
        <w:t xml:space="preserve">To answer these questions, we </w:t>
      </w:r>
      <w:r w:rsidR="00315C10">
        <w:rPr>
          <w:rFonts w:ascii="Verdana" w:eastAsia="Verdana" w:hAnsi="Verdana" w:cs="Verdana"/>
          <w:sz w:val="20"/>
          <w:szCs w:val="20"/>
        </w:rPr>
        <w:t xml:space="preserve">first </w:t>
      </w:r>
      <w:r w:rsidRPr="2DCD9A74">
        <w:rPr>
          <w:rFonts w:ascii="Verdana" w:eastAsia="Verdana" w:hAnsi="Verdana" w:cs="Verdana"/>
          <w:sz w:val="20"/>
          <w:szCs w:val="20"/>
        </w:rPr>
        <w:t>used PROC SURVEYLOGISTIC to model the log-odds of success (i.e., EVENT = ‘1’) which allowed us to account for the CSD of the NLTS2012. We had hypothesized that White students without disabilities from high income households would, on average, have a higher probability of receiving CCR supports than others, therefore, we modeled this group as the reference and inserted indicators representing other groups (e.g., Black students with intellectual disability from low-income households). See below for this code:</w:t>
      </w:r>
    </w:p>
    <w:p w14:paraId="10D9D3FA" w14:textId="51BD64D8" w:rsidR="2DCD9A74" w:rsidRDefault="2DCD9A74" w:rsidP="2DCD9A74">
      <w:pPr>
        <w:rPr>
          <w:rFonts w:eastAsia="Calibri"/>
        </w:rPr>
      </w:pPr>
    </w:p>
    <w:p w14:paraId="3A00F847" w14:textId="781D2F05"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proc </w:t>
      </w:r>
      <w:proofErr w:type="spellStart"/>
      <w:r w:rsidRPr="2DCD9A74">
        <w:rPr>
          <w:rFonts w:ascii="Courier New" w:eastAsia="Courier New" w:hAnsi="Courier New" w:cs="Courier New"/>
          <w:sz w:val="20"/>
          <w:szCs w:val="20"/>
        </w:rPr>
        <w:t>surveylogistic</w:t>
      </w:r>
      <w:proofErr w:type="spellEnd"/>
      <w:r w:rsidRPr="2DCD9A74">
        <w:rPr>
          <w:rFonts w:ascii="Courier New" w:eastAsia="Courier New" w:hAnsi="Courier New" w:cs="Courier New"/>
          <w:sz w:val="20"/>
          <w:szCs w:val="20"/>
        </w:rPr>
        <w:t xml:space="preserve"> data = </w:t>
      </w:r>
      <w:proofErr w:type="spellStart"/>
      <w:proofErr w:type="gramStart"/>
      <w:r w:rsidRPr="2DCD9A74">
        <w:rPr>
          <w:rFonts w:ascii="Courier New" w:eastAsia="Courier New" w:hAnsi="Courier New" w:cs="Courier New"/>
          <w:sz w:val="20"/>
          <w:szCs w:val="20"/>
        </w:rPr>
        <w:t>dat</w:t>
      </w:r>
      <w:proofErr w:type="spellEnd"/>
      <w:r w:rsidRPr="2DCD9A74">
        <w:rPr>
          <w:rFonts w:ascii="Courier New" w:eastAsia="Courier New" w:hAnsi="Courier New" w:cs="Courier New"/>
          <w:sz w:val="20"/>
          <w:szCs w:val="20"/>
        </w:rPr>
        <w:t>;</w:t>
      </w:r>
      <w:proofErr w:type="gramEnd"/>
    </w:p>
    <w:p w14:paraId="50603F1C" w14:textId="67F89D3B"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cluster </w:t>
      </w:r>
      <w:proofErr w:type="spellStart"/>
      <w:r w:rsidRPr="2DCD9A74">
        <w:rPr>
          <w:rFonts w:ascii="Courier New" w:eastAsia="Courier New" w:hAnsi="Courier New" w:cs="Courier New"/>
          <w:sz w:val="20"/>
          <w:szCs w:val="20"/>
        </w:rPr>
        <w:t>c_apsu</w:t>
      </w:r>
      <w:proofErr w:type="spellEnd"/>
      <w:r w:rsidRPr="2DCD9A74">
        <w:rPr>
          <w:rFonts w:ascii="Courier New" w:eastAsia="Courier New" w:hAnsi="Courier New" w:cs="Courier New"/>
          <w:sz w:val="20"/>
          <w:szCs w:val="20"/>
        </w:rPr>
        <w:t>;</w:t>
      </w:r>
      <w:r>
        <w:tab/>
      </w:r>
      <w:r>
        <w:tab/>
      </w:r>
      <w:r>
        <w:tab/>
      </w:r>
      <w:r>
        <w:tab/>
      </w:r>
      <w:r>
        <w:tab/>
      </w:r>
      <w:r w:rsidRPr="2DCD9A74">
        <w:rPr>
          <w:rFonts w:ascii="Courier New" w:eastAsia="Courier New" w:hAnsi="Courier New" w:cs="Courier New"/>
          <w:sz w:val="20"/>
          <w:szCs w:val="20"/>
        </w:rPr>
        <w:t>/*Specifies Cluster Variable*/</w:t>
      </w:r>
    </w:p>
    <w:p w14:paraId="0E6E0FCB" w14:textId="44EEBA86"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stratum </w:t>
      </w:r>
      <w:proofErr w:type="spellStart"/>
      <w:r w:rsidRPr="2DCD9A74">
        <w:rPr>
          <w:rFonts w:ascii="Courier New" w:eastAsia="Courier New" w:hAnsi="Courier New" w:cs="Courier New"/>
          <w:sz w:val="20"/>
          <w:szCs w:val="20"/>
        </w:rPr>
        <w:t>c_astratum</w:t>
      </w:r>
      <w:proofErr w:type="spellEnd"/>
      <w:r w:rsidRPr="2DCD9A74">
        <w:rPr>
          <w:rFonts w:ascii="Courier New" w:eastAsia="Courier New" w:hAnsi="Courier New" w:cs="Courier New"/>
          <w:sz w:val="20"/>
          <w:szCs w:val="20"/>
        </w:rPr>
        <w:t xml:space="preserve">; </w:t>
      </w:r>
      <w:r>
        <w:tab/>
      </w:r>
      <w:r>
        <w:tab/>
      </w:r>
      <w:r>
        <w:tab/>
      </w:r>
      <w:r>
        <w:tab/>
      </w:r>
      <w:r w:rsidRPr="2DCD9A74">
        <w:rPr>
          <w:rFonts w:ascii="Courier New" w:eastAsia="Courier New" w:hAnsi="Courier New" w:cs="Courier New"/>
          <w:sz w:val="20"/>
          <w:szCs w:val="20"/>
        </w:rPr>
        <w:t>/*Specify Stratum Variable*/</w:t>
      </w:r>
    </w:p>
    <w:p w14:paraId="68E1E200" w14:textId="570DBBE0" w:rsidR="2DCD9A74" w:rsidRDefault="2DCD9A74" w:rsidP="00315C10">
      <w:pPr>
        <w:rPr>
          <w:rFonts w:ascii="Courier New" w:eastAsia="Courier New" w:hAnsi="Courier New" w:cs="Courier New"/>
          <w:sz w:val="20"/>
          <w:szCs w:val="20"/>
        </w:rPr>
      </w:pPr>
      <w:r w:rsidRPr="2DCD9A74">
        <w:rPr>
          <w:rFonts w:ascii="Courier New" w:eastAsia="Courier New" w:hAnsi="Courier New" w:cs="Courier New"/>
          <w:sz w:val="20"/>
          <w:szCs w:val="20"/>
        </w:rPr>
        <w:t xml:space="preserve">model apps(event='1') = </w:t>
      </w:r>
      <w:proofErr w:type="spellStart"/>
      <w:r w:rsidRPr="2DCD9A74">
        <w:rPr>
          <w:rFonts w:ascii="Courier New" w:eastAsia="Courier New" w:hAnsi="Courier New" w:cs="Courier New"/>
          <w:sz w:val="20"/>
          <w:szCs w:val="20"/>
        </w:rPr>
        <w:t>asd</w:t>
      </w:r>
      <w:proofErr w:type="spellEnd"/>
      <w:r w:rsidRPr="2DCD9A74">
        <w:rPr>
          <w:rFonts w:ascii="Courier New" w:eastAsia="Courier New" w:hAnsi="Courier New" w:cs="Courier New"/>
          <w:sz w:val="20"/>
          <w:szCs w:val="20"/>
        </w:rPr>
        <w:t xml:space="preserve"> </w:t>
      </w:r>
      <w:proofErr w:type="spellStart"/>
      <w:r w:rsidRPr="2DCD9A74">
        <w:rPr>
          <w:rFonts w:ascii="Courier New" w:eastAsia="Courier New" w:hAnsi="Courier New" w:cs="Courier New"/>
          <w:sz w:val="20"/>
          <w:szCs w:val="20"/>
        </w:rPr>
        <w:t>hiInc</w:t>
      </w:r>
      <w:proofErr w:type="spellEnd"/>
      <w:r w:rsidRPr="2DCD9A74">
        <w:rPr>
          <w:rFonts w:ascii="Courier New" w:eastAsia="Courier New" w:hAnsi="Courier New" w:cs="Courier New"/>
          <w:sz w:val="20"/>
          <w:szCs w:val="20"/>
        </w:rPr>
        <w:t xml:space="preserve"> id </w:t>
      </w:r>
      <w:proofErr w:type="spellStart"/>
      <w:r w:rsidRPr="2DCD9A74">
        <w:rPr>
          <w:rFonts w:ascii="Courier New" w:eastAsia="Courier New" w:hAnsi="Courier New" w:cs="Courier New"/>
          <w:sz w:val="20"/>
          <w:szCs w:val="20"/>
        </w:rPr>
        <w:t>mult</w:t>
      </w:r>
      <w:proofErr w:type="spellEnd"/>
      <w:r w:rsidRPr="2DCD9A74">
        <w:rPr>
          <w:rFonts w:ascii="Courier New" w:eastAsia="Courier New" w:hAnsi="Courier New" w:cs="Courier New"/>
          <w:sz w:val="20"/>
          <w:szCs w:val="20"/>
        </w:rPr>
        <w:t xml:space="preserve"> ortho plan504 sensory </w:t>
      </w:r>
      <w:proofErr w:type="spellStart"/>
      <w:proofErr w:type="gramStart"/>
      <w:r w:rsidRPr="2DCD9A74">
        <w:rPr>
          <w:rFonts w:ascii="Courier New" w:eastAsia="Courier New" w:hAnsi="Courier New" w:cs="Courier New"/>
          <w:sz w:val="20"/>
          <w:szCs w:val="20"/>
        </w:rPr>
        <w:t>tbi</w:t>
      </w:r>
      <w:proofErr w:type="spellEnd"/>
      <w:r w:rsidRPr="2DCD9A74">
        <w:rPr>
          <w:rFonts w:ascii="Courier New" w:eastAsia="Courier New" w:hAnsi="Courier New" w:cs="Courier New"/>
          <w:sz w:val="20"/>
          <w:szCs w:val="20"/>
        </w:rPr>
        <w:t>;</w:t>
      </w:r>
      <w:proofErr w:type="gramEnd"/>
    </w:p>
    <w:p w14:paraId="39AA7923" w14:textId="001D92E4"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weight </w:t>
      </w:r>
      <w:proofErr w:type="spellStart"/>
      <w:r w:rsidRPr="2DCD9A74">
        <w:rPr>
          <w:rFonts w:ascii="Courier New" w:eastAsia="Courier New" w:hAnsi="Courier New" w:cs="Courier New"/>
          <w:sz w:val="20"/>
          <w:szCs w:val="20"/>
        </w:rPr>
        <w:t>y_weight_enrolledyouth</w:t>
      </w:r>
      <w:proofErr w:type="spellEnd"/>
      <w:r w:rsidRPr="2DCD9A74">
        <w:rPr>
          <w:rFonts w:ascii="Courier New" w:eastAsia="Courier New" w:hAnsi="Courier New" w:cs="Courier New"/>
          <w:sz w:val="20"/>
          <w:szCs w:val="20"/>
        </w:rPr>
        <w:t xml:space="preserve">; </w:t>
      </w:r>
      <w:r>
        <w:tab/>
      </w:r>
      <w:r>
        <w:tab/>
      </w:r>
      <w:r w:rsidRPr="2DCD9A74">
        <w:rPr>
          <w:rFonts w:ascii="Courier New" w:eastAsia="Courier New" w:hAnsi="Courier New" w:cs="Courier New"/>
          <w:sz w:val="20"/>
          <w:szCs w:val="20"/>
        </w:rPr>
        <w:t>/*Specify Weight Variable*/</w:t>
      </w:r>
    </w:p>
    <w:p w14:paraId="3CD59432" w14:textId="7198051F" w:rsidR="2DCD9A74" w:rsidRDefault="2DCD9A74" w:rsidP="2DCD9A74">
      <w:pPr>
        <w:rPr>
          <w:rFonts w:ascii="Courier New" w:eastAsia="Courier New" w:hAnsi="Courier New" w:cs="Courier New"/>
          <w:sz w:val="20"/>
          <w:szCs w:val="20"/>
        </w:rPr>
      </w:pPr>
      <w:proofErr w:type="gramStart"/>
      <w:r w:rsidRPr="2DCD9A74">
        <w:rPr>
          <w:rFonts w:ascii="Courier New" w:eastAsia="Courier New" w:hAnsi="Courier New" w:cs="Courier New"/>
          <w:sz w:val="20"/>
          <w:szCs w:val="20"/>
        </w:rPr>
        <w:t>Run;</w:t>
      </w:r>
      <w:proofErr w:type="gramEnd"/>
    </w:p>
    <w:p w14:paraId="2CF60464" w14:textId="260ACDFA" w:rsidR="2DCD9A74" w:rsidRDefault="2DCD9A74" w:rsidP="2DCD9A74">
      <w:pPr>
        <w:rPr>
          <w:rFonts w:eastAsia="Calibri"/>
        </w:rPr>
      </w:pPr>
    </w:p>
    <w:p w14:paraId="303016B7" w14:textId="52856B9F" w:rsidR="2DCD9A74" w:rsidRDefault="2DCD9A74">
      <w:r w:rsidRPr="2DCD9A74">
        <w:rPr>
          <w:rFonts w:ascii="Verdana" w:eastAsia="Verdana" w:hAnsi="Verdana" w:cs="Verdana"/>
          <w:sz w:val="20"/>
          <w:szCs w:val="20"/>
        </w:rPr>
        <w:t xml:space="preserve">Following estimation of the logistic regression under the null hypothesis significance testing framework, we: (a) examined the significance of the partial log-odds estimates, (b) exponentiated these effects to retrieve the odds ratio, and (c) computed the model-implied probability of receipt for each group. Ultimately, if the odds ratio was not significantly different from unity, then we as researchers are forced to make a binary decision about whether an effect is there or not. As previously stated, leveraging Bayesian estimation and inference </w:t>
      </w:r>
      <w:r w:rsidR="00315C10">
        <w:rPr>
          <w:rFonts w:ascii="Verdana" w:eastAsia="Verdana" w:hAnsi="Verdana" w:cs="Verdana"/>
          <w:sz w:val="20"/>
          <w:szCs w:val="20"/>
        </w:rPr>
        <w:t xml:space="preserve">avoids the need to make such a zero/sum decision as </w:t>
      </w:r>
      <w:r w:rsidRPr="2DCD9A74">
        <w:rPr>
          <w:rFonts w:ascii="Verdana" w:eastAsia="Verdana" w:hAnsi="Verdana" w:cs="Verdana"/>
          <w:sz w:val="20"/>
          <w:szCs w:val="20"/>
        </w:rPr>
        <w:t xml:space="preserve">we </w:t>
      </w:r>
      <w:proofErr w:type="gramStart"/>
      <w:r w:rsidRPr="2DCD9A74">
        <w:rPr>
          <w:rFonts w:ascii="Verdana" w:eastAsia="Verdana" w:hAnsi="Verdana" w:cs="Verdana"/>
          <w:sz w:val="20"/>
          <w:szCs w:val="20"/>
        </w:rPr>
        <w:t>are able to</w:t>
      </w:r>
      <w:proofErr w:type="gramEnd"/>
      <w:r w:rsidRPr="2DCD9A74">
        <w:rPr>
          <w:rFonts w:ascii="Verdana" w:eastAsia="Verdana" w:hAnsi="Verdana" w:cs="Verdana"/>
          <w:sz w:val="20"/>
          <w:szCs w:val="20"/>
        </w:rPr>
        <w:t xml:space="preserve"> report posterior probabilities and accumulate evidence for or against our hypotheses. Specifically, by estimating Bayes Factor we </w:t>
      </w:r>
      <w:proofErr w:type="gramStart"/>
      <w:r w:rsidRPr="2DCD9A74">
        <w:rPr>
          <w:rFonts w:ascii="Verdana" w:eastAsia="Verdana" w:hAnsi="Verdana" w:cs="Verdana"/>
          <w:sz w:val="20"/>
          <w:szCs w:val="20"/>
        </w:rPr>
        <w:t>are able to</w:t>
      </w:r>
      <w:proofErr w:type="gramEnd"/>
      <w:r w:rsidRPr="2DCD9A74">
        <w:rPr>
          <w:rFonts w:ascii="Verdana" w:eastAsia="Verdana" w:hAnsi="Verdana" w:cs="Verdana"/>
          <w:sz w:val="20"/>
          <w:szCs w:val="20"/>
        </w:rPr>
        <w:t xml:space="preserve"> evaluate the predictive merit of the two models (null and alternative)</w:t>
      </w:r>
      <w:r w:rsidR="00315C10">
        <w:rPr>
          <w:rFonts w:ascii="Verdana" w:eastAsia="Verdana" w:hAnsi="Verdana" w:cs="Verdana"/>
          <w:sz w:val="20"/>
          <w:szCs w:val="20"/>
        </w:rPr>
        <w:t>, without necessarily rejecting either one</w:t>
      </w:r>
      <w:r w:rsidRPr="2DCD9A74">
        <w:rPr>
          <w:rFonts w:ascii="Verdana" w:eastAsia="Verdana" w:hAnsi="Verdana" w:cs="Verdana"/>
          <w:sz w:val="20"/>
          <w:szCs w:val="20"/>
        </w:rPr>
        <w:t xml:space="preserve">. To accomplish this, we used PROC MCMC. Recall that Bayesian inference requires a prior distribution, data (i.e., likelihood), and results in the posterior distribution. To replicate </w:t>
      </w:r>
      <w:r w:rsidR="00315C10">
        <w:rPr>
          <w:rFonts w:ascii="Verdana" w:eastAsia="Verdana" w:hAnsi="Verdana" w:cs="Verdana"/>
          <w:sz w:val="20"/>
          <w:szCs w:val="20"/>
        </w:rPr>
        <w:t xml:space="preserve">the original </w:t>
      </w:r>
      <w:r w:rsidRPr="2DCD9A74">
        <w:rPr>
          <w:rFonts w:ascii="Verdana" w:eastAsia="Verdana" w:hAnsi="Verdana" w:cs="Verdana"/>
          <w:sz w:val="20"/>
          <w:szCs w:val="20"/>
        </w:rPr>
        <w:t xml:space="preserve">model </w:t>
      </w:r>
      <w:r w:rsidR="00315C10">
        <w:rPr>
          <w:rFonts w:ascii="Verdana" w:eastAsia="Verdana" w:hAnsi="Verdana" w:cs="Verdana"/>
          <w:sz w:val="20"/>
          <w:szCs w:val="20"/>
        </w:rPr>
        <w:t xml:space="preserve">recovered in </w:t>
      </w:r>
      <w:r w:rsidRPr="2DCD9A74">
        <w:rPr>
          <w:rFonts w:ascii="Verdana" w:eastAsia="Verdana" w:hAnsi="Verdana" w:cs="Verdana"/>
          <w:sz w:val="20"/>
          <w:szCs w:val="20"/>
        </w:rPr>
        <w:t>logistic regression from the NHST framework, we applied an uninformative prior [~</w:t>
      </w:r>
      <w:proofErr w:type="gramStart"/>
      <w:r w:rsidRPr="2DCD9A74">
        <w:rPr>
          <w:rFonts w:ascii="Verdana" w:eastAsia="Verdana" w:hAnsi="Verdana" w:cs="Verdana"/>
          <w:sz w:val="20"/>
          <w:szCs w:val="20"/>
        </w:rPr>
        <w:t>NORMAL(</w:t>
      </w:r>
      <w:proofErr w:type="gramEnd"/>
      <w:r w:rsidRPr="2DCD9A74">
        <w:rPr>
          <w:rFonts w:ascii="Verdana" w:eastAsia="Verdana" w:hAnsi="Verdana" w:cs="Verdana"/>
          <w:sz w:val="20"/>
          <w:szCs w:val="20"/>
        </w:rPr>
        <w:t xml:space="preserve">0, VAR = 10, LOWER = -10, UPPER = 10)] which forces the Bayesian estimates to be influenced mostly from the data rather than the prior distribution. </w:t>
      </w:r>
      <w:r w:rsidR="00F129B1">
        <w:rPr>
          <w:rFonts w:ascii="Verdana" w:eastAsia="Verdana" w:hAnsi="Verdana" w:cs="Verdana"/>
          <w:sz w:val="20"/>
          <w:szCs w:val="20"/>
        </w:rPr>
        <w:t xml:space="preserve">The following statement fit this model </w:t>
      </w:r>
      <w:r w:rsidR="00A42CD7">
        <w:rPr>
          <w:rFonts w:ascii="Verdana" w:eastAsia="Verdana" w:hAnsi="Verdana" w:cs="Verdana"/>
          <w:sz w:val="20"/>
          <w:szCs w:val="20"/>
        </w:rPr>
        <w:t>to sample data</w:t>
      </w:r>
      <w:r w:rsidRPr="2DCD9A74">
        <w:rPr>
          <w:rFonts w:ascii="Verdana" w:eastAsia="Verdana" w:hAnsi="Verdana" w:cs="Verdana"/>
          <w:sz w:val="20"/>
          <w:szCs w:val="20"/>
        </w:rPr>
        <w:t>:</w:t>
      </w:r>
    </w:p>
    <w:p w14:paraId="280FA199" w14:textId="419BC5A8" w:rsidR="2DCD9A74" w:rsidRDefault="2DCD9A74" w:rsidP="2DCD9A74">
      <w:pPr>
        <w:rPr>
          <w:rFonts w:ascii="Verdana" w:eastAsia="Verdana" w:hAnsi="Verdana" w:cs="Verdana"/>
          <w:sz w:val="20"/>
          <w:szCs w:val="20"/>
        </w:rPr>
      </w:pPr>
    </w:p>
    <w:p w14:paraId="4D60B5F8" w14:textId="2B3A6338"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PROC MCMC DATA=</w:t>
      </w:r>
      <w:proofErr w:type="spellStart"/>
      <w:r w:rsidRPr="2DCD9A74">
        <w:rPr>
          <w:rFonts w:ascii="Courier New" w:eastAsia="Courier New" w:hAnsi="Courier New" w:cs="Courier New"/>
          <w:sz w:val="20"/>
          <w:szCs w:val="20"/>
        </w:rPr>
        <w:t>dat</w:t>
      </w:r>
      <w:proofErr w:type="spellEnd"/>
      <w:r w:rsidRPr="2DCD9A74">
        <w:rPr>
          <w:rFonts w:ascii="Courier New" w:eastAsia="Courier New" w:hAnsi="Courier New" w:cs="Courier New"/>
          <w:sz w:val="20"/>
          <w:szCs w:val="20"/>
        </w:rPr>
        <w:t xml:space="preserve"> NTU=1000 NMC=500000 THIN=10 PROPCOV=</w:t>
      </w:r>
      <w:proofErr w:type="spellStart"/>
      <w:r w:rsidRPr="2DCD9A74">
        <w:rPr>
          <w:rFonts w:ascii="Courier New" w:eastAsia="Courier New" w:hAnsi="Courier New" w:cs="Courier New"/>
          <w:sz w:val="20"/>
          <w:szCs w:val="20"/>
        </w:rPr>
        <w:t>QuaNew</w:t>
      </w:r>
      <w:proofErr w:type="spellEnd"/>
      <w:r w:rsidRPr="2DCD9A74">
        <w:rPr>
          <w:rFonts w:ascii="Courier New" w:eastAsia="Courier New" w:hAnsi="Courier New" w:cs="Courier New"/>
          <w:sz w:val="20"/>
          <w:szCs w:val="20"/>
        </w:rPr>
        <w:t xml:space="preserve"> SEED=10 MISSING=</w:t>
      </w:r>
      <w:proofErr w:type="gramStart"/>
      <w:r w:rsidRPr="2DCD9A74">
        <w:rPr>
          <w:rFonts w:ascii="Courier New" w:eastAsia="Courier New" w:hAnsi="Courier New" w:cs="Courier New"/>
          <w:sz w:val="20"/>
          <w:szCs w:val="20"/>
        </w:rPr>
        <w:t>CC;</w:t>
      </w:r>
      <w:proofErr w:type="gramEnd"/>
      <w:r w:rsidRPr="2DCD9A74">
        <w:rPr>
          <w:rFonts w:ascii="Courier New" w:eastAsia="Courier New" w:hAnsi="Courier New" w:cs="Courier New"/>
          <w:sz w:val="20"/>
          <w:szCs w:val="20"/>
        </w:rPr>
        <w:t xml:space="preserve"> </w:t>
      </w:r>
    </w:p>
    <w:p w14:paraId="6FEDC68D" w14:textId="4B72F6E8" w:rsidR="2DCD9A74" w:rsidRDefault="2DCD9A74" w:rsidP="00315C10">
      <w:pPr>
        <w:rPr>
          <w:rFonts w:ascii="Courier New" w:eastAsia="Courier New" w:hAnsi="Courier New" w:cs="Courier New"/>
          <w:sz w:val="20"/>
          <w:szCs w:val="20"/>
        </w:rPr>
      </w:pPr>
      <w:r w:rsidRPr="2DCD9A74">
        <w:rPr>
          <w:rFonts w:ascii="Courier New" w:eastAsia="Courier New" w:hAnsi="Courier New" w:cs="Courier New"/>
          <w:sz w:val="20"/>
          <w:szCs w:val="20"/>
        </w:rPr>
        <w:t xml:space="preserve">by </w:t>
      </w:r>
      <w:proofErr w:type="spellStart"/>
      <w:proofErr w:type="gramStart"/>
      <w:r w:rsidRPr="2DCD9A74">
        <w:rPr>
          <w:rFonts w:ascii="Courier New" w:eastAsia="Courier New" w:hAnsi="Courier New" w:cs="Courier New"/>
          <w:sz w:val="20"/>
          <w:szCs w:val="20"/>
        </w:rPr>
        <w:t>testno</w:t>
      </w:r>
      <w:proofErr w:type="spellEnd"/>
      <w:r w:rsidRPr="2DCD9A74">
        <w:rPr>
          <w:rFonts w:ascii="Courier New" w:eastAsia="Courier New" w:hAnsi="Courier New" w:cs="Courier New"/>
          <w:sz w:val="20"/>
          <w:szCs w:val="20"/>
        </w:rPr>
        <w:t>;</w:t>
      </w:r>
      <w:proofErr w:type="gramEnd"/>
    </w:p>
    <w:p w14:paraId="19F3635D" w14:textId="5B72A997"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lastRenderedPageBreak/>
        <w:t xml:space="preserve">PARM B0 </w:t>
      </w:r>
      <w:proofErr w:type="gramStart"/>
      <w:r w:rsidRPr="2DCD9A74">
        <w:rPr>
          <w:rFonts w:ascii="Courier New" w:eastAsia="Courier New" w:hAnsi="Courier New" w:cs="Courier New"/>
          <w:sz w:val="20"/>
          <w:szCs w:val="20"/>
        </w:rPr>
        <w:t>B1;</w:t>
      </w:r>
      <w:proofErr w:type="gramEnd"/>
    </w:p>
    <w:p w14:paraId="7B5360BD" w14:textId="5D66CCBD"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PRIOR B: ~</w:t>
      </w:r>
      <w:proofErr w:type="gramStart"/>
      <w:r w:rsidRPr="2DCD9A74">
        <w:rPr>
          <w:rFonts w:ascii="Courier New" w:eastAsia="Courier New" w:hAnsi="Courier New" w:cs="Courier New"/>
          <w:sz w:val="20"/>
          <w:szCs w:val="20"/>
        </w:rPr>
        <w:t>NORMAL(</w:t>
      </w:r>
      <w:proofErr w:type="gramEnd"/>
      <w:r w:rsidRPr="2DCD9A74">
        <w:rPr>
          <w:rFonts w:ascii="Courier New" w:eastAsia="Courier New" w:hAnsi="Courier New" w:cs="Courier New"/>
          <w:sz w:val="20"/>
          <w:szCs w:val="20"/>
        </w:rPr>
        <w:t>0, VAR = 10, LOWER = -10, UPPER = 10);</w:t>
      </w:r>
    </w:p>
    <w:p w14:paraId="4F1C5D8D" w14:textId="7832B6A1"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MODEL </w:t>
      </w:r>
      <w:proofErr w:type="gramStart"/>
      <w:r w:rsidRPr="2DCD9A74">
        <w:rPr>
          <w:rFonts w:ascii="Courier New" w:eastAsia="Courier New" w:hAnsi="Courier New" w:cs="Courier New"/>
          <w:sz w:val="20"/>
          <w:szCs w:val="20"/>
        </w:rPr>
        <w:t>GENERAL(</w:t>
      </w:r>
      <w:proofErr w:type="gramEnd"/>
      <w:r w:rsidRPr="2DCD9A74">
        <w:rPr>
          <w:rFonts w:ascii="Courier New" w:eastAsia="Courier New" w:hAnsi="Courier New" w:cs="Courier New"/>
          <w:sz w:val="20"/>
          <w:szCs w:val="20"/>
        </w:rPr>
        <w:t>weight*LOG(PDF("Bernoulli",</w:t>
      </w:r>
      <w:proofErr w:type="spellStart"/>
      <w:r w:rsidRPr="2DCD9A74">
        <w:rPr>
          <w:rFonts w:ascii="Courier New" w:eastAsia="Courier New" w:hAnsi="Courier New" w:cs="Courier New"/>
          <w:sz w:val="20"/>
          <w:szCs w:val="20"/>
        </w:rPr>
        <w:t>apps,LOGISTIC</w:t>
      </w:r>
      <w:proofErr w:type="spellEnd"/>
      <w:r w:rsidRPr="2DCD9A74">
        <w:rPr>
          <w:rFonts w:ascii="Courier New" w:eastAsia="Courier New" w:hAnsi="Courier New" w:cs="Courier New"/>
          <w:sz w:val="20"/>
          <w:szCs w:val="20"/>
        </w:rPr>
        <w:t xml:space="preserve">(B0 + B1*focal)))); </w:t>
      </w:r>
    </w:p>
    <w:p w14:paraId="718F01FD" w14:textId="258829A1"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*User specified model statement modified for weights </w:t>
      </w:r>
      <w:proofErr w:type="gramStart"/>
      <w:r w:rsidRPr="2DCD9A74">
        <w:rPr>
          <w:rFonts w:ascii="Courier New" w:eastAsia="Courier New" w:hAnsi="Courier New" w:cs="Courier New"/>
          <w:sz w:val="20"/>
          <w:szCs w:val="20"/>
        </w:rPr>
        <w:t>analysis;</w:t>
      </w:r>
      <w:proofErr w:type="gramEnd"/>
    </w:p>
    <w:p w14:paraId="31A106DF" w14:textId="415C4756"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ODS TABLE </w:t>
      </w:r>
      <w:proofErr w:type="spellStart"/>
      <w:r w:rsidRPr="2DCD9A74">
        <w:rPr>
          <w:rFonts w:ascii="Courier New" w:eastAsia="Courier New" w:hAnsi="Courier New" w:cs="Courier New"/>
          <w:sz w:val="20"/>
          <w:szCs w:val="20"/>
        </w:rPr>
        <w:t>PostSumInt</w:t>
      </w:r>
      <w:proofErr w:type="spellEnd"/>
      <w:r w:rsidRPr="2DCD9A74">
        <w:rPr>
          <w:rFonts w:ascii="Courier New" w:eastAsia="Courier New" w:hAnsi="Courier New" w:cs="Courier New"/>
          <w:sz w:val="20"/>
          <w:szCs w:val="20"/>
        </w:rPr>
        <w:t>=</w:t>
      </w:r>
      <w:proofErr w:type="spellStart"/>
      <w:proofErr w:type="gramStart"/>
      <w:r w:rsidRPr="2DCD9A74">
        <w:rPr>
          <w:rFonts w:ascii="Courier New" w:eastAsia="Courier New" w:hAnsi="Courier New" w:cs="Courier New"/>
          <w:sz w:val="20"/>
          <w:szCs w:val="20"/>
        </w:rPr>
        <w:t>AppsResult</w:t>
      </w:r>
      <w:proofErr w:type="spellEnd"/>
      <w:r w:rsidRPr="2DCD9A74">
        <w:rPr>
          <w:rFonts w:ascii="Courier New" w:eastAsia="Courier New" w:hAnsi="Courier New" w:cs="Courier New"/>
          <w:sz w:val="20"/>
          <w:szCs w:val="20"/>
        </w:rPr>
        <w:t>;</w:t>
      </w:r>
      <w:proofErr w:type="gramEnd"/>
    </w:p>
    <w:p w14:paraId="0F7FA49D" w14:textId="1BEACD36" w:rsidR="2DCD9A74" w:rsidRDefault="2DCD9A74" w:rsidP="2DCD9A74">
      <w:pPr>
        <w:rPr>
          <w:rFonts w:ascii="Courier New" w:eastAsia="Courier New" w:hAnsi="Courier New" w:cs="Courier New"/>
          <w:sz w:val="20"/>
          <w:szCs w:val="20"/>
        </w:rPr>
      </w:pPr>
      <w:proofErr w:type="gramStart"/>
      <w:r w:rsidRPr="2DCD9A74">
        <w:rPr>
          <w:rFonts w:ascii="Courier New" w:eastAsia="Courier New" w:hAnsi="Courier New" w:cs="Courier New"/>
          <w:sz w:val="20"/>
          <w:szCs w:val="20"/>
        </w:rPr>
        <w:t>RUN;</w:t>
      </w:r>
      <w:proofErr w:type="gramEnd"/>
    </w:p>
    <w:p w14:paraId="4C9726B9" w14:textId="2162AC51" w:rsidR="2DCD9A74" w:rsidRDefault="2DCD9A74" w:rsidP="2DCD9A74">
      <w:pPr>
        <w:rPr>
          <w:rFonts w:ascii="Verdana" w:eastAsia="Verdana" w:hAnsi="Verdana" w:cs="Verdana"/>
          <w:sz w:val="20"/>
          <w:szCs w:val="20"/>
        </w:rPr>
      </w:pPr>
    </w:p>
    <w:p w14:paraId="1A696EC9" w14:textId="3C4EFB55" w:rsidR="00AA431A" w:rsidRDefault="00A42CD7">
      <w:pPr>
        <w:rPr>
          <w:rFonts w:ascii="Verdana" w:eastAsia="Verdana" w:hAnsi="Verdana" w:cs="Verdana"/>
          <w:sz w:val="20"/>
          <w:szCs w:val="20"/>
        </w:rPr>
      </w:pPr>
      <w:r>
        <w:rPr>
          <w:rFonts w:ascii="Verdana" w:eastAsia="Verdana" w:hAnsi="Verdana" w:cs="Verdana"/>
          <w:sz w:val="20"/>
          <w:szCs w:val="20"/>
        </w:rPr>
        <w:t xml:space="preserve">The PROC MCMC statement invokes the procedure and species the input dataset </w:t>
      </w:r>
      <w:r w:rsidR="00576317">
        <w:rPr>
          <w:rFonts w:ascii="Verdana" w:eastAsia="Verdana" w:hAnsi="Verdana" w:cs="Verdana"/>
          <w:i/>
          <w:iCs/>
          <w:sz w:val="20"/>
          <w:szCs w:val="20"/>
        </w:rPr>
        <w:t>dat.</w:t>
      </w:r>
      <w:r w:rsidR="00576317">
        <w:rPr>
          <w:rFonts w:ascii="Verdana" w:eastAsia="Verdana" w:hAnsi="Verdana" w:cs="Verdana"/>
          <w:sz w:val="20"/>
          <w:szCs w:val="20"/>
        </w:rPr>
        <w:t xml:space="preserve"> The </w:t>
      </w:r>
      <w:r w:rsidR="00261A1E">
        <w:rPr>
          <w:rFonts w:ascii="Verdana" w:eastAsia="Verdana" w:hAnsi="Verdana" w:cs="Verdana"/>
          <w:sz w:val="20"/>
          <w:szCs w:val="20"/>
        </w:rPr>
        <w:t>NTU</w:t>
      </w:r>
      <w:r w:rsidR="002F56A8">
        <w:rPr>
          <w:rFonts w:ascii="Verdana" w:eastAsia="Verdana" w:hAnsi="Verdana" w:cs="Verdana"/>
          <w:sz w:val="20"/>
          <w:szCs w:val="20"/>
        </w:rPr>
        <w:t xml:space="preserve">= option specifies the number of tuning iterations, </w:t>
      </w:r>
      <w:r w:rsidR="00576317">
        <w:rPr>
          <w:rFonts w:ascii="Verdana" w:eastAsia="Verdana" w:hAnsi="Verdana" w:cs="Verdana"/>
          <w:sz w:val="20"/>
          <w:szCs w:val="20"/>
        </w:rPr>
        <w:t xml:space="preserve">NMC= option </w:t>
      </w:r>
      <w:r w:rsidR="002F56A8">
        <w:rPr>
          <w:rFonts w:ascii="Verdana" w:eastAsia="Verdana" w:hAnsi="Verdana" w:cs="Verdana"/>
          <w:sz w:val="20"/>
          <w:szCs w:val="20"/>
        </w:rPr>
        <w:t>specifies</w:t>
      </w:r>
      <w:r w:rsidR="00576317">
        <w:rPr>
          <w:rFonts w:ascii="Verdana" w:eastAsia="Verdana" w:hAnsi="Verdana" w:cs="Verdana"/>
          <w:sz w:val="20"/>
          <w:szCs w:val="20"/>
        </w:rPr>
        <w:t xml:space="preserve"> the number of posterior simulation iterations. The THIN= option controls the thinning of the Markov chain and specifies that one of every 2 samples is kept. Thinning is often used to reduce the correlations among posterior draws. </w:t>
      </w:r>
      <w:r w:rsidR="008136AE">
        <w:rPr>
          <w:rFonts w:ascii="Verdana" w:eastAsia="Verdana" w:hAnsi="Verdana" w:cs="Verdana"/>
          <w:sz w:val="20"/>
          <w:szCs w:val="20"/>
        </w:rPr>
        <w:t>The PROPCOV=</w:t>
      </w:r>
      <w:proofErr w:type="spellStart"/>
      <w:r w:rsidR="008136AE">
        <w:rPr>
          <w:rFonts w:ascii="Verdana" w:eastAsia="Verdana" w:hAnsi="Verdana" w:cs="Verdana"/>
          <w:sz w:val="20"/>
          <w:szCs w:val="20"/>
        </w:rPr>
        <w:t>QuaNew</w:t>
      </w:r>
      <w:proofErr w:type="spellEnd"/>
      <w:r w:rsidR="008136AE">
        <w:rPr>
          <w:rFonts w:ascii="Verdana" w:eastAsia="Verdana" w:hAnsi="Verdana" w:cs="Verdana"/>
          <w:sz w:val="20"/>
          <w:szCs w:val="20"/>
        </w:rPr>
        <w:t xml:space="preserve"> </w:t>
      </w:r>
      <w:r w:rsidR="00DB2FAE">
        <w:rPr>
          <w:rFonts w:ascii="Verdana" w:eastAsia="Verdana" w:hAnsi="Verdana" w:cs="Verdana"/>
          <w:sz w:val="20"/>
          <w:szCs w:val="20"/>
        </w:rPr>
        <w:t xml:space="preserve">controls the construction of the initial proposal covariance matrix (in this case, we requested quasi-Newton optimization). </w:t>
      </w:r>
      <w:r w:rsidR="006D7E25">
        <w:rPr>
          <w:rFonts w:ascii="Verdana" w:eastAsia="Verdana" w:hAnsi="Verdana" w:cs="Verdana"/>
          <w:sz w:val="20"/>
          <w:szCs w:val="20"/>
        </w:rPr>
        <w:t>The SEED option specifies a seed for the MCMC simulation</w:t>
      </w:r>
      <w:r w:rsidR="00315C10">
        <w:rPr>
          <w:rFonts w:ascii="Verdana" w:eastAsia="Verdana" w:hAnsi="Verdana" w:cs="Verdana"/>
          <w:sz w:val="20"/>
          <w:szCs w:val="20"/>
        </w:rPr>
        <w:t xml:space="preserve"> for reproducibility</w:t>
      </w:r>
      <w:r w:rsidR="006D7E25">
        <w:rPr>
          <w:rFonts w:ascii="Verdana" w:eastAsia="Verdana" w:hAnsi="Verdana" w:cs="Verdana"/>
          <w:sz w:val="20"/>
          <w:szCs w:val="20"/>
        </w:rPr>
        <w:t xml:space="preserve">. </w:t>
      </w:r>
    </w:p>
    <w:p w14:paraId="7B5E8738" w14:textId="77777777" w:rsidR="00AA431A" w:rsidRDefault="00AA431A">
      <w:pPr>
        <w:rPr>
          <w:rFonts w:ascii="Verdana" w:eastAsia="Verdana" w:hAnsi="Verdana" w:cs="Verdana"/>
          <w:sz w:val="20"/>
          <w:szCs w:val="20"/>
        </w:rPr>
      </w:pPr>
    </w:p>
    <w:p w14:paraId="2613101A" w14:textId="2F37C7F0" w:rsidR="00A42CD7" w:rsidRPr="00576317" w:rsidRDefault="00AA431A">
      <w:pPr>
        <w:rPr>
          <w:rFonts w:ascii="Verdana" w:eastAsia="Verdana" w:hAnsi="Verdana" w:cs="Verdana"/>
          <w:sz w:val="20"/>
          <w:szCs w:val="20"/>
        </w:rPr>
      </w:pPr>
      <w:r>
        <w:rPr>
          <w:rFonts w:ascii="Verdana" w:eastAsia="Verdana" w:hAnsi="Verdana" w:cs="Verdana"/>
          <w:sz w:val="20"/>
          <w:szCs w:val="20"/>
        </w:rPr>
        <w:t xml:space="preserve">The PARMS statements identify </w:t>
      </w:r>
      <w:r w:rsidR="00682FEA">
        <w:rPr>
          <w:rFonts w:ascii="Verdana" w:eastAsia="Verdana" w:hAnsi="Verdana" w:cs="Verdana"/>
          <w:sz w:val="20"/>
          <w:szCs w:val="20"/>
        </w:rPr>
        <w:t xml:space="preserve">two user-named parameters, B0 and B1. The PRIOR statement assigns a diffuse normal prior to these parameters. For better computation, we bounded the prior to be between -10 and 10 to rule out absurd values. </w:t>
      </w:r>
      <w:r w:rsidR="00247E28">
        <w:rPr>
          <w:rFonts w:ascii="Verdana" w:eastAsia="Verdana" w:hAnsi="Verdana" w:cs="Verdana"/>
          <w:sz w:val="20"/>
          <w:szCs w:val="20"/>
        </w:rPr>
        <w:t>The MODEL statement defines the response model for the data. In this case</w:t>
      </w:r>
      <w:r w:rsidR="00315C10">
        <w:rPr>
          <w:rFonts w:ascii="Verdana" w:eastAsia="Verdana" w:hAnsi="Verdana" w:cs="Verdana"/>
          <w:sz w:val="20"/>
          <w:szCs w:val="20"/>
        </w:rPr>
        <w:t>,</w:t>
      </w:r>
      <w:r w:rsidR="00247E28">
        <w:rPr>
          <w:rFonts w:ascii="Verdana" w:eastAsia="Verdana" w:hAnsi="Verdana" w:cs="Verdana"/>
          <w:sz w:val="20"/>
          <w:szCs w:val="20"/>
        </w:rPr>
        <w:t xml:space="preserve"> we used the GENERAL </w:t>
      </w:r>
      <w:r w:rsidR="00695B6C">
        <w:rPr>
          <w:rFonts w:ascii="Verdana" w:eastAsia="Verdana" w:hAnsi="Verdana" w:cs="Verdana"/>
          <w:sz w:val="20"/>
          <w:szCs w:val="20"/>
        </w:rPr>
        <w:t>option, which allows users to define their own response model</w:t>
      </w:r>
      <w:r w:rsidR="00E70A55">
        <w:rPr>
          <w:rFonts w:ascii="Verdana" w:eastAsia="Verdana" w:hAnsi="Verdana" w:cs="Verdana"/>
          <w:sz w:val="20"/>
          <w:szCs w:val="20"/>
        </w:rPr>
        <w:t xml:space="preserve"> with weights</w:t>
      </w:r>
      <w:r w:rsidR="00695B6C">
        <w:rPr>
          <w:rFonts w:ascii="Verdana" w:eastAsia="Verdana" w:hAnsi="Verdana" w:cs="Verdana"/>
          <w:sz w:val="20"/>
          <w:szCs w:val="20"/>
        </w:rPr>
        <w:t xml:space="preserve">. </w:t>
      </w:r>
      <w:r w:rsidR="00391743">
        <w:rPr>
          <w:rFonts w:ascii="Verdana" w:eastAsia="Verdana" w:hAnsi="Verdana" w:cs="Verdana"/>
          <w:sz w:val="20"/>
          <w:szCs w:val="20"/>
        </w:rPr>
        <w:t xml:space="preserve">By multiplying the </w:t>
      </w:r>
      <w:r w:rsidR="00033E45">
        <w:rPr>
          <w:rFonts w:ascii="Verdana" w:eastAsia="Verdana" w:hAnsi="Verdana" w:cs="Verdana"/>
          <w:sz w:val="20"/>
          <w:szCs w:val="20"/>
        </w:rPr>
        <w:t>loglikelihood</w:t>
      </w:r>
      <w:r w:rsidR="00391743">
        <w:rPr>
          <w:rFonts w:ascii="Verdana" w:eastAsia="Verdana" w:hAnsi="Verdana" w:cs="Verdana"/>
          <w:sz w:val="20"/>
          <w:szCs w:val="20"/>
        </w:rPr>
        <w:t xml:space="preserve"> </w:t>
      </w:r>
      <w:r w:rsidR="00033E45">
        <w:rPr>
          <w:rFonts w:ascii="Verdana" w:eastAsia="Verdana" w:hAnsi="Verdana" w:cs="Verdana"/>
          <w:sz w:val="20"/>
          <w:szCs w:val="20"/>
        </w:rPr>
        <w:t>of each observation by their sample weight</w:t>
      </w:r>
      <w:r w:rsidR="00682FEA">
        <w:rPr>
          <w:rFonts w:ascii="Verdana" w:eastAsia="Verdana" w:hAnsi="Verdana" w:cs="Verdana"/>
          <w:sz w:val="20"/>
          <w:szCs w:val="20"/>
        </w:rPr>
        <w:t xml:space="preserve"> </w:t>
      </w:r>
      <w:r w:rsidR="00526D84">
        <w:rPr>
          <w:rFonts w:ascii="Verdana" w:eastAsia="Verdana" w:hAnsi="Verdana" w:cs="Verdana"/>
          <w:sz w:val="20"/>
          <w:szCs w:val="20"/>
        </w:rPr>
        <w:t xml:space="preserve">parameter estimates will reflect population proportions </w:t>
      </w:r>
      <w:r w:rsidR="009711DF">
        <w:rPr>
          <w:rFonts w:ascii="Verdana" w:eastAsia="Verdana" w:hAnsi="Verdana" w:cs="Verdana"/>
          <w:sz w:val="20"/>
          <w:szCs w:val="20"/>
        </w:rPr>
        <w:t xml:space="preserve">while the certainty of inferences will still reflect sample sizes. </w:t>
      </w:r>
      <w:r w:rsidR="00526D84">
        <w:rPr>
          <w:rFonts w:ascii="Verdana" w:eastAsia="Verdana" w:hAnsi="Verdana" w:cs="Verdana"/>
          <w:sz w:val="20"/>
          <w:szCs w:val="20"/>
        </w:rPr>
        <w:t xml:space="preserve"> </w:t>
      </w:r>
      <w:r w:rsidR="00682FEA">
        <w:rPr>
          <w:rFonts w:ascii="Verdana" w:eastAsia="Verdana" w:hAnsi="Verdana" w:cs="Verdana"/>
          <w:sz w:val="20"/>
          <w:szCs w:val="20"/>
        </w:rPr>
        <w:t xml:space="preserve"> </w:t>
      </w:r>
      <w:r w:rsidR="00261A1E">
        <w:rPr>
          <w:rFonts w:ascii="Verdana" w:eastAsia="Verdana" w:hAnsi="Verdana" w:cs="Verdana"/>
          <w:sz w:val="20"/>
          <w:szCs w:val="20"/>
        </w:rPr>
        <w:t xml:space="preserve"> </w:t>
      </w:r>
    </w:p>
    <w:p w14:paraId="572B851A" w14:textId="77777777" w:rsidR="00A42CD7" w:rsidRDefault="00A42CD7">
      <w:pPr>
        <w:rPr>
          <w:rFonts w:ascii="Verdana" w:eastAsia="Verdana" w:hAnsi="Verdana" w:cs="Verdana"/>
          <w:sz w:val="20"/>
          <w:szCs w:val="20"/>
        </w:rPr>
      </w:pPr>
    </w:p>
    <w:p w14:paraId="2711EB88" w14:textId="43082DA3" w:rsidR="2DCD9A74" w:rsidRDefault="2DCD9A74">
      <w:r w:rsidRPr="2DCD9A74">
        <w:rPr>
          <w:rFonts w:ascii="Verdana" w:eastAsia="Verdana" w:hAnsi="Verdana" w:cs="Verdana"/>
          <w:sz w:val="20"/>
          <w:szCs w:val="20"/>
        </w:rPr>
        <w:t xml:space="preserve">We then grouped estimates into either a positive effect or negative effect group to compute the Bayes Factor. This was necessary to give focus to the Bayes Factor, allowing us to examine evidence for or against the estimated effect. We determined that the smallest effect </w:t>
      </w:r>
      <w:r w:rsidR="00315C10">
        <w:rPr>
          <w:rFonts w:ascii="Verdana" w:eastAsia="Verdana" w:hAnsi="Verdana" w:cs="Verdana"/>
          <w:sz w:val="20"/>
          <w:szCs w:val="20"/>
        </w:rPr>
        <w:t xml:space="preserve">on the logistic scale </w:t>
      </w:r>
      <w:r w:rsidRPr="2DCD9A74">
        <w:rPr>
          <w:rFonts w:ascii="Verdana" w:eastAsia="Verdana" w:hAnsi="Verdana" w:cs="Verdana"/>
          <w:sz w:val="20"/>
          <w:szCs w:val="20"/>
        </w:rPr>
        <w:t xml:space="preserve">we would be interested in </w:t>
      </w:r>
      <w:r w:rsidR="00315C10">
        <w:rPr>
          <w:rFonts w:ascii="Verdana" w:eastAsia="Verdana" w:hAnsi="Verdana" w:cs="Verdana"/>
          <w:sz w:val="20"/>
          <w:szCs w:val="20"/>
        </w:rPr>
        <w:t xml:space="preserve">finding </w:t>
      </w:r>
      <w:r w:rsidRPr="2DCD9A74">
        <w:rPr>
          <w:rFonts w:ascii="Verdana" w:eastAsia="Verdana" w:hAnsi="Verdana" w:cs="Verdana"/>
          <w:sz w:val="20"/>
          <w:szCs w:val="20"/>
        </w:rPr>
        <w:t>was |.18|</w:t>
      </w:r>
      <w:r w:rsidR="00315C10">
        <w:rPr>
          <w:rFonts w:ascii="Verdana" w:eastAsia="Verdana" w:hAnsi="Verdana" w:cs="Verdana"/>
          <w:sz w:val="20"/>
          <w:szCs w:val="20"/>
        </w:rPr>
        <w:t>. Our rationale was that this effect is mathematically equivalent to d=</w:t>
      </w:r>
      <w:r w:rsidR="00A43D0E">
        <w:rPr>
          <w:rFonts w:ascii="Verdana" w:eastAsia="Verdana" w:hAnsi="Verdana" w:cs="Verdana"/>
          <w:sz w:val="20"/>
          <w:szCs w:val="20"/>
        </w:rPr>
        <w:t>|</w:t>
      </w:r>
      <w:r w:rsidR="00315C10">
        <w:rPr>
          <w:rFonts w:ascii="Verdana" w:eastAsia="Verdana" w:hAnsi="Verdana" w:cs="Verdana"/>
          <w:sz w:val="20"/>
          <w:szCs w:val="20"/>
        </w:rPr>
        <w:t>.1</w:t>
      </w:r>
      <w:r w:rsidR="00A43D0E">
        <w:rPr>
          <w:rFonts w:ascii="Verdana" w:eastAsia="Verdana" w:hAnsi="Verdana" w:cs="Verdana"/>
          <w:sz w:val="20"/>
          <w:szCs w:val="20"/>
        </w:rPr>
        <w:t>|, which is commonly considered to be the border line between a value being practically equivalent to the null and a value being practically different from the null</w:t>
      </w:r>
      <w:r w:rsidR="00315C10">
        <w:rPr>
          <w:rFonts w:ascii="Verdana" w:eastAsia="Verdana" w:hAnsi="Verdana" w:cs="Verdana"/>
          <w:sz w:val="20"/>
          <w:szCs w:val="20"/>
        </w:rPr>
        <w:t>.</w:t>
      </w:r>
      <w:r w:rsidRPr="2DCD9A74">
        <w:rPr>
          <w:rFonts w:ascii="Verdana" w:eastAsia="Verdana" w:hAnsi="Verdana" w:cs="Verdana"/>
          <w:sz w:val="20"/>
          <w:szCs w:val="20"/>
        </w:rPr>
        <w:t xml:space="preserve"> </w:t>
      </w:r>
      <w:r w:rsidR="00A43D0E">
        <w:rPr>
          <w:rFonts w:ascii="Verdana" w:eastAsia="Verdana" w:hAnsi="Verdana" w:cs="Verdana"/>
          <w:sz w:val="20"/>
          <w:szCs w:val="20"/>
        </w:rPr>
        <w:t>T</w:t>
      </w:r>
      <w:r w:rsidRPr="2DCD9A74">
        <w:rPr>
          <w:rFonts w:ascii="Verdana" w:eastAsia="Verdana" w:hAnsi="Verdana" w:cs="Verdana"/>
          <w:sz w:val="20"/>
          <w:szCs w:val="20"/>
        </w:rPr>
        <w:t xml:space="preserve">herefore, </w:t>
      </w:r>
      <w:r w:rsidR="00A43D0E">
        <w:rPr>
          <w:rFonts w:ascii="Verdana" w:eastAsia="Verdana" w:hAnsi="Verdana" w:cs="Verdana"/>
          <w:sz w:val="20"/>
          <w:szCs w:val="20"/>
        </w:rPr>
        <w:t xml:space="preserve">in this case, </w:t>
      </w:r>
      <w:r w:rsidRPr="2DCD9A74">
        <w:rPr>
          <w:rFonts w:ascii="Verdana" w:eastAsia="Verdana" w:hAnsi="Verdana" w:cs="Verdana"/>
          <w:sz w:val="20"/>
          <w:szCs w:val="20"/>
        </w:rPr>
        <w:t xml:space="preserve">when the </w:t>
      </w:r>
      <w:r w:rsidR="00A43D0E">
        <w:rPr>
          <w:rFonts w:ascii="Verdana" w:eastAsia="Verdana" w:hAnsi="Verdana" w:cs="Verdana"/>
          <w:sz w:val="20"/>
          <w:szCs w:val="20"/>
        </w:rPr>
        <w:t xml:space="preserve">frequentist estimated </w:t>
      </w:r>
      <w:r w:rsidRPr="2DCD9A74">
        <w:rPr>
          <w:rFonts w:ascii="Verdana" w:eastAsia="Verdana" w:hAnsi="Verdana" w:cs="Verdana"/>
          <w:sz w:val="20"/>
          <w:szCs w:val="20"/>
        </w:rPr>
        <w:t xml:space="preserve">effect was negative, we set the alternative hypothesis (H1) to -0.18; and when the </w:t>
      </w:r>
      <w:r w:rsidR="00A43D0E">
        <w:rPr>
          <w:rFonts w:ascii="Verdana" w:eastAsia="Verdana" w:hAnsi="Verdana" w:cs="Verdana"/>
          <w:sz w:val="20"/>
          <w:szCs w:val="20"/>
        </w:rPr>
        <w:t xml:space="preserve">frequentist estimated </w:t>
      </w:r>
      <w:r w:rsidRPr="2DCD9A74">
        <w:rPr>
          <w:rFonts w:ascii="Verdana" w:eastAsia="Verdana" w:hAnsi="Verdana" w:cs="Verdana"/>
          <w:sz w:val="20"/>
          <w:szCs w:val="20"/>
        </w:rPr>
        <w:t xml:space="preserve">effect was positive, H1 was 0.18; meanwhile H0 was fixed at zero, regardless of the direction of the effect. The parameter that corresponds to the probability of the alternative model is Phi and </w:t>
      </w:r>
      <w:r w:rsidR="00A43D0E">
        <w:rPr>
          <w:rFonts w:ascii="Verdana" w:eastAsia="Verdana" w:hAnsi="Verdana" w:cs="Verdana"/>
          <w:sz w:val="20"/>
          <w:szCs w:val="20"/>
        </w:rPr>
        <w:t xml:space="preserve">this parameter </w:t>
      </w:r>
      <w:r w:rsidRPr="2DCD9A74">
        <w:rPr>
          <w:rFonts w:ascii="Verdana" w:eastAsia="Verdana" w:hAnsi="Verdana" w:cs="Verdana"/>
          <w:sz w:val="20"/>
          <w:szCs w:val="20"/>
        </w:rPr>
        <w:t>is given the following prior distribution of [~</w:t>
      </w:r>
      <w:proofErr w:type="gramStart"/>
      <w:r w:rsidRPr="2DCD9A74">
        <w:rPr>
          <w:rFonts w:ascii="Verdana" w:eastAsia="Verdana" w:hAnsi="Verdana" w:cs="Verdana"/>
          <w:sz w:val="20"/>
          <w:szCs w:val="20"/>
        </w:rPr>
        <w:t>BINARY(</w:t>
      </w:r>
      <w:proofErr w:type="gramEnd"/>
      <w:r w:rsidRPr="2DCD9A74">
        <w:rPr>
          <w:rFonts w:ascii="Verdana" w:eastAsia="Verdana" w:hAnsi="Verdana" w:cs="Verdana"/>
          <w:sz w:val="20"/>
          <w:szCs w:val="20"/>
        </w:rPr>
        <w:t>0.5)]. The mean of posterior distribution of Phi corresponds is the estimate of Bayes Factor.</w:t>
      </w:r>
    </w:p>
    <w:p w14:paraId="55DFE5D2" w14:textId="737DA14B" w:rsidR="2DCD9A74" w:rsidRDefault="2DCD9A74" w:rsidP="2DCD9A74">
      <w:pPr>
        <w:rPr>
          <w:rFonts w:eastAsia="Calibri"/>
        </w:rPr>
      </w:pPr>
    </w:p>
    <w:p w14:paraId="30A7EE9B" w14:textId="1A2965BC"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%LET N=50000; *</w:t>
      </w:r>
      <w:proofErr w:type="gramStart"/>
      <w:r w:rsidRPr="2DCD9A74">
        <w:rPr>
          <w:rFonts w:ascii="Courier New" w:eastAsia="Courier New" w:hAnsi="Courier New" w:cs="Courier New"/>
          <w:sz w:val="20"/>
          <w:szCs w:val="20"/>
        </w:rPr>
        <w:t>NMC;</w:t>
      </w:r>
      <w:proofErr w:type="gramEnd"/>
    </w:p>
    <w:p w14:paraId="7B097106" w14:textId="3DE2E67E"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%LET H0=0; *Null Hypothesis for BF Analysis (Note: Single Point Hypothesis</w:t>
      </w:r>
      <w:proofErr w:type="gramStart"/>
      <w:r w:rsidRPr="2DCD9A74">
        <w:rPr>
          <w:rFonts w:ascii="Courier New" w:eastAsia="Courier New" w:hAnsi="Courier New" w:cs="Courier New"/>
          <w:sz w:val="20"/>
          <w:szCs w:val="20"/>
        </w:rPr>
        <w:t>);</w:t>
      </w:r>
      <w:proofErr w:type="gramEnd"/>
    </w:p>
    <w:p w14:paraId="2E8774EE" w14:textId="213EE3D4"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%LET H1=-0.18; *Alternate Hypothesis for BF Analysis (Note: Single Point Hypothesis</w:t>
      </w:r>
      <w:proofErr w:type="gramStart"/>
      <w:r w:rsidRPr="2DCD9A74">
        <w:rPr>
          <w:rFonts w:ascii="Courier New" w:eastAsia="Courier New" w:hAnsi="Courier New" w:cs="Courier New"/>
          <w:sz w:val="20"/>
          <w:szCs w:val="20"/>
        </w:rPr>
        <w:t>);</w:t>
      </w:r>
      <w:proofErr w:type="gramEnd"/>
    </w:p>
    <w:p w14:paraId="7054998C" w14:textId="2B25DAC0" w:rsidR="2DCD9A74" w:rsidRDefault="2DCD9A74" w:rsidP="2DCD9A74">
      <w:pPr>
        <w:rPr>
          <w:rFonts w:ascii="Courier New" w:eastAsia="Courier New" w:hAnsi="Courier New" w:cs="Courier New"/>
          <w:sz w:val="20"/>
          <w:szCs w:val="20"/>
        </w:rPr>
      </w:pPr>
    </w:p>
    <w:p w14:paraId="40EAC758" w14:textId="4EAB30B2"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PROC MCMC DATA=</w:t>
      </w:r>
      <w:proofErr w:type="spellStart"/>
      <w:r w:rsidRPr="2DCD9A74">
        <w:rPr>
          <w:rFonts w:ascii="Courier New" w:eastAsia="Courier New" w:hAnsi="Courier New" w:cs="Courier New"/>
          <w:sz w:val="20"/>
          <w:szCs w:val="20"/>
        </w:rPr>
        <w:t>appsneg</w:t>
      </w:r>
      <w:proofErr w:type="spellEnd"/>
      <w:r w:rsidRPr="2DCD9A74">
        <w:rPr>
          <w:rFonts w:ascii="Courier New" w:eastAsia="Courier New" w:hAnsi="Courier New" w:cs="Courier New"/>
          <w:sz w:val="20"/>
          <w:szCs w:val="20"/>
        </w:rPr>
        <w:t xml:space="preserve"> NTU=1000 NMC=500000 THIN=10 PROPCOV=</w:t>
      </w:r>
      <w:proofErr w:type="spellStart"/>
      <w:r w:rsidRPr="2DCD9A74">
        <w:rPr>
          <w:rFonts w:ascii="Courier New" w:eastAsia="Courier New" w:hAnsi="Courier New" w:cs="Courier New"/>
          <w:sz w:val="20"/>
          <w:szCs w:val="20"/>
        </w:rPr>
        <w:t>QuaNew</w:t>
      </w:r>
      <w:proofErr w:type="spellEnd"/>
      <w:r w:rsidRPr="2DCD9A74">
        <w:rPr>
          <w:rFonts w:ascii="Courier New" w:eastAsia="Courier New" w:hAnsi="Courier New" w:cs="Courier New"/>
          <w:sz w:val="20"/>
          <w:szCs w:val="20"/>
        </w:rPr>
        <w:t xml:space="preserve"> SEED=10 MISSING=CC; *Binary-Logistic </w:t>
      </w:r>
      <w:proofErr w:type="gramStart"/>
      <w:r w:rsidRPr="2DCD9A74">
        <w:rPr>
          <w:rFonts w:ascii="Courier New" w:eastAsia="Courier New" w:hAnsi="Courier New" w:cs="Courier New"/>
          <w:sz w:val="20"/>
          <w:szCs w:val="20"/>
        </w:rPr>
        <w:t>Model;</w:t>
      </w:r>
      <w:proofErr w:type="gramEnd"/>
    </w:p>
    <w:p w14:paraId="4ADC23C8" w14:textId="67ED2D37"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by </w:t>
      </w:r>
      <w:proofErr w:type="spellStart"/>
      <w:proofErr w:type="gramStart"/>
      <w:r w:rsidRPr="2DCD9A74">
        <w:rPr>
          <w:rFonts w:ascii="Courier New" w:eastAsia="Courier New" w:hAnsi="Courier New" w:cs="Courier New"/>
          <w:sz w:val="20"/>
          <w:szCs w:val="20"/>
        </w:rPr>
        <w:t>testNo</w:t>
      </w:r>
      <w:proofErr w:type="spellEnd"/>
      <w:r w:rsidRPr="2DCD9A74">
        <w:rPr>
          <w:rFonts w:ascii="Courier New" w:eastAsia="Courier New" w:hAnsi="Courier New" w:cs="Courier New"/>
          <w:sz w:val="20"/>
          <w:szCs w:val="20"/>
        </w:rPr>
        <w:t>;</w:t>
      </w:r>
      <w:proofErr w:type="gramEnd"/>
    </w:p>
    <w:p w14:paraId="39D323FB" w14:textId="6548CA2F"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PARM Phi 0 </w:t>
      </w:r>
      <w:proofErr w:type="gramStart"/>
      <w:r w:rsidRPr="2DCD9A74">
        <w:rPr>
          <w:rFonts w:ascii="Courier New" w:eastAsia="Courier New" w:hAnsi="Courier New" w:cs="Courier New"/>
          <w:sz w:val="20"/>
          <w:szCs w:val="20"/>
        </w:rPr>
        <w:t>B0;</w:t>
      </w:r>
      <w:proofErr w:type="gramEnd"/>
      <w:r w:rsidRPr="2DCD9A74">
        <w:rPr>
          <w:rFonts w:ascii="Courier New" w:eastAsia="Courier New" w:hAnsi="Courier New" w:cs="Courier New"/>
          <w:sz w:val="20"/>
          <w:szCs w:val="20"/>
        </w:rPr>
        <w:t xml:space="preserve"> </w:t>
      </w:r>
    </w:p>
    <w:p w14:paraId="151A4F03" w14:textId="37FE5224"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PRIOR Phi ~ </w:t>
      </w:r>
      <w:proofErr w:type="gramStart"/>
      <w:r w:rsidRPr="2DCD9A74">
        <w:rPr>
          <w:rFonts w:ascii="Courier New" w:eastAsia="Courier New" w:hAnsi="Courier New" w:cs="Courier New"/>
          <w:sz w:val="20"/>
          <w:szCs w:val="20"/>
        </w:rPr>
        <w:t>BINARY(</w:t>
      </w:r>
      <w:proofErr w:type="gramEnd"/>
      <w:r w:rsidRPr="2DCD9A74">
        <w:rPr>
          <w:rFonts w:ascii="Courier New" w:eastAsia="Courier New" w:hAnsi="Courier New" w:cs="Courier New"/>
          <w:sz w:val="20"/>
          <w:szCs w:val="20"/>
        </w:rPr>
        <w:t xml:space="preserve">0.5); </w:t>
      </w:r>
    </w:p>
    <w:p w14:paraId="2D3AFBDF" w14:textId="4E2FD69B"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PRIOR B: ~</w:t>
      </w:r>
      <w:proofErr w:type="gramStart"/>
      <w:r w:rsidRPr="2DCD9A74">
        <w:rPr>
          <w:rFonts w:ascii="Courier New" w:eastAsia="Courier New" w:hAnsi="Courier New" w:cs="Courier New"/>
          <w:sz w:val="20"/>
          <w:szCs w:val="20"/>
        </w:rPr>
        <w:t>NORMAL(</w:t>
      </w:r>
      <w:proofErr w:type="gramEnd"/>
      <w:r w:rsidRPr="2DCD9A74">
        <w:rPr>
          <w:rFonts w:ascii="Courier New" w:eastAsia="Courier New" w:hAnsi="Courier New" w:cs="Courier New"/>
          <w:sz w:val="20"/>
          <w:szCs w:val="20"/>
        </w:rPr>
        <w:t>0,VAR = 10, LOWER = -10, UPPER = 10);</w:t>
      </w:r>
    </w:p>
    <w:p w14:paraId="44DD9828" w14:textId="119F03C8"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w:t>
      </w:r>
      <w:r>
        <w:tab/>
      </w:r>
      <w:r w:rsidRPr="2DCD9A74">
        <w:rPr>
          <w:rFonts w:ascii="Courier New" w:eastAsia="Courier New" w:hAnsi="Courier New" w:cs="Courier New"/>
          <w:sz w:val="20"/>
          <w:szCs w:val="20"/>
        </w:rPr>
        <w:t xml:space="preserve">MODEL </w:t>
      </w:r>
      <w:proofErr w:type="gramStart"/>
      <w:r w:rsidRPr="2DCD9A74">
        <w:rPr>
          <w:rFonts w:ascii="Courier New" w:eastAsia="Courier New" w:hAnsi="Courier New" w:cs="Courier New"/>
          <w:sz w:val="20"/>
          <w:szCs w:val="20"/>
        </w:rPr>
        <w:t>GENERAL(</w:t>
      </w:r>
      <w:proofErr w:type="gramEnd"/>
      <w:r w:rsidRPr="2DCD9A74">
        <w:rPr>
          <w:rFonts w:ascii="Courier New" w:eastAsia="Courier New" w:hAnsi="Courier New" w:cs="Courier New"/>
          <w:sz w:val="20"/>
          <w:szCs w:val="20"/>
        </w:rPr>
        <w:t>y_weight_enrolledyouth*LOG(PDF("Bernoulli",apps,LOGISTIC(B0 + ((1-Phi)*&amp;H0 + Phi*&amp;H1)*</w:t>
      </w:r>
      <w:proofErr w:type="spellStart"/>
      <w:r w:rsidRPr="2DCD9A74">
        <w:rPr>
          <w:rFonts w:ascii="Courier New" w:eastAsia="Courier New" w:hAnsi="Courier New" w:cs="Courier New"/>
          <w:sz w:val="20"/>
          <w:szCs w:val="20"/>
        </w:rPr>
        <w:t>sensory_white_hi</w:t>
      </w:r>
      <w:proofErr w:type="spellEnd"/>
      <w:r w:rsidRPr="2DCD9A74">
        <w:rPr>
          <w:rFonts w:ascii="Courier New" w:eastAsia="Courier New" w:hAnsi="Courier New" w:cs="Courier New"/>
          <w:sz w:val="20"/>
          <w:szCs w:val="20"/>
        </w:rPr>
        <w:t>)))); *BF for Alternate;*/</w:t>
      </w:r>
    </w:p>
    <w:p w14:paraId="24F1A668" w14:textId="0A03EF27"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MODEL </w:t>
      </w:r>
      <w:proofErr w:type="gramStart"/>
      <w:r w:rsidRPr="2DCD9A74">
        <w:rPr>
          <w:rFonts w:ascii="Courier New" w:eastAsia="Courier New" w:hAnsi="Courier New" w:cs="Courier New"/>
          <w:sz w:val="20"/>
          <w:szCs w:val="20"/>
        </w:rPr>
        <w:t>GENERAL(</w:t>
      </w:r>
      <w:proofErr w:type="gramEnd"/>
      <w:r w:rsidRPr="2DCD9A74">
        <w:rPr>
          <w:rFonts w:ascii="Courier New" w:eastAsia="Courier New" w:hAnsi="Courier New" w:cs="Courier New"/>
          <w:sz w:val="20"/>
          <w:szCs w:val="20"/>
        </w:rPr>
        <w:t>weight*LOG(PDF("Bernoulli",</w:t>
      </w:r>
      <w:proofErr w:type="spellStart"/>
      <w:r w:rsidRPr="2DCD9A74">
        <w:rPr>
          <w:rFonts w:ascii="Courier New" w:eastAsia="Courier New" w:hAnsi="Courier New" w:cs="Courier New"/>
          <w:sz w:val="20"/>
          <w:szCs w:val="20"/>
        </w:rPr>
        <w:t>apps,LOGISTIC</w:t>
      </w:r>
      <w:proofErr w:type="spellEnd"/>
      <w:r w:rsidRPr="2DCD9A74">
        <w:rPr>
          <w:rFonts w:ascii="Courier New" w:eastAsia="Courier New" w:hAnsi="Courier New" w:cs="Courier New"/>
          <w:sz w:val="20"/>
          <w:szCs w:val="20"/>
        </w:rPr>
        <w:t>(B0 + ((1-Phi)*&amp;H0 + Phi*&amp;H1)*focal)))); *BF for Alternate;</w:t>
      </w:r>
    </w:p>
    <w:p w14:paraId="742F9D15" w14:textId="37601299"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 </w:t>
      </w:r>
    </w:p>
    <w:p w14:paraId="64DCA079" w14:textId="15447540"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ODS TABLE </w:t>
      </w:r>
      <w:proofErr w:type="spellStart"/>
      <w:r w:rsidRPr="2DCD9A74">
        <w:rPr>
          <w:rFonts w:ascii="Courier New" w:eastAsia="Courier New" w:hAnsi="Courier New" w:cs="Courier New"/>
          <w:sz w:val="20"/>
          <w:szCs w:val="20"/>
        </w:rPr>
        <w:t>PostSumInt</w:t>
      </w:r>
      <w:proofErr w:type="spellEnd"/>
      <w:r w:rsidRPr="2DCD9A74">
        <w:rPr>
          <w:rFonts w:ascii="Courier New" w:eastAsia="Courier New" w:hAnsi="Courier New" w:cs="Courier New"/>
          <w:sz w:val="20"/>
          <w:szCs w:val="20"/>
        </w:rPr>
        <w:t>=</w:t>
      </w:r>
      <w:proofErr w:type="spellStart"/>
      <w:r w:rsidRPr="2DCD9A74">
        <w:rPr>
          <w:rFonts w:ascii="Courier New" w:eastAsia="Courier New" w:hAnsi="Courier New" w:cs="Courier New"/>
          <w:sz w:val="20"/>
          <w:szCs w:val="20"/>
        </w:rPr>
        <w:t>BF_</w:t>
      </w:r>
      <w:proofErr w:type="gramStart"/>
      <w:r w:rsidRPr="2DCD9A74">
        <w:rPr>
          <w:rFonts w:ascii="Courier New" w:eastAsia="Courier New" w:hAnsi="Courier New" w:cs="Courier New"/>
          <w:sz w:val="20"/>
          <w:szCs w:val="20"/>
        </w:rPr>
        <w:t>neg</w:t>
      </w:r>
      <w:proofErr w:type="spellEnd"/>
      <w:r w:rsidRPr="2DCD9A74">
        <w:rPr>
          <w:rFonts w:ascii="Courier New" w:eastAsia="Courier New" w:hAnsi="Courier New" w:cs="Courier New"/>
          <w:sz w:val="20"/>
          <w:szCs w:val="20"/>
        </w:rPr>
        <w:t>;</w:t>
      </w:r>
      <w:proofErr w:type="gramEnd"/>
    </w:p>
    <w:p w14:paraId="3EB21921" w14:textId="54E6B3C1"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 </w:t>
      </w:r>
    </w:p>
    <w:p w14:paraId="70E35C82" w14:textId="12FAC18B" w:rsidR="2DCD9A74" w:rsidRDefault="2DCD9A74" w:rsidP="2DCD9A74">
      <w:pPr>
        <w:rPr>
          <w:rFonts w:ascii="Courier New" w:eastAsia="Courier New" w:hAnsi="Courier New" w:cs="Courier New"/>
          <w:sz w:val="20"/>
          <w:szCs w:val="20"/>
        </w:rPr>
      </w:pPr>
      <w:proofErr w:type="gramStart"/>
      <w:r w:rsidRPr="2DCD9A74">
        <w:rPr>
          <w:rFonts w:ascii="Courier New" w:eastAsia="Courier New" w:hAnsi="Courier New" w:cs="Courier New"/>
          <w:sz w:val="20"/>
          <w:szCs w:val="20"/>
        </w:rPr>
        <w:lastRenderedPageBreak/>
        <w:t>RUN;*</w:t>
      </w:r>
      <w:proofErr w:type="gramEnd"/>
      <w:r w:rsidRPr="2DCD9A74">
        <w:rPr>
          <w:rFonts w:ascii="Courier New" w:eastAsia="Courier New" w:hAnsi="Courier New" w:cs="Courier New"/>
          <w:sz w:val="20"/>
          <w:szCs w:val="20"/>
        </w:rPr>
        <w:t>Approximate BF value;</w:t>
      </w:r>
    </w:p>
    <w:p w14:paraId="38DFBCE0" w14:textId="7A5DACDF" w:rsidR="00321F25" w:rsidRDefault="00321F25" w:rsidP="2DCD9A74">
      <w:pPr>
        <w:rPr>
          <w:rFonts w:ascii="Courier New" w:eastAsia="Courier New" w:hAnsi="Courier New" w:cs="Courier New"/>
          <w:sz w:val="20"/>
          <w:szCs w:val="20"/>
        </w:rPr>
      </w:pPr>
    </w:p>
    <w:p w14:paraId="76BDDC7F" w14:textId="6CC0ED25" w:rsidR="00321F25" w:rsidRDefault="00321F25" w:rsidP="2DCD9A74">
      <w:pPr>
        <w:rPr>
          <w:rFonts w:ascii="Courier New" w:eastAsia="Courier New" w:hAnsi="Courier New" w:cs="Courier New"/>
          <w:sz w:val="20"/>
          <w:szCs w:val="20"/>
        </w:rPr>
      </w:pPr>
    </w:p>
    <w:p w14:paraId="50C3A36B" w14:textId="15AA4FDE" w:rsidR="00321F25" w:rsidRDefault="002870B4" w:rsidP="00321F25">
      <w:r>
        <w:rPr>
          <w:rFonts w:ascii="Verdana" w:eastAsia="Verdana" w:hAnsi="Verdana" w:cs="Verdana"/>
          <w:sz w:val="20"/>
          <w:szCs w:val="20"/>
        </w:rPr>
        <w:t>The PARM statement identifies two parameters, Phi and B0</w:t>
      </w:r>
      <w:r w:rsidR="00321F25" w:rsidRPr="2DCD9A74">
        <w:rPr>
          <w:rFonts w:ascii="Verdana" w:eastAsia="Verdana" w:hAnsi="Verdana" w:cs="Verdana"/>
          <w:sz w:val="20"/>
          <w:szCs w:val="20"/>
        </w:rPr>
        <w:t>.</w:t>
      </w:r>
      <w:r>
        <w:rPr>
          <w:rFonts w:ascii="Verdana" w:eastAsia="Verdana" w:hAnsi="Verdana" w:cs="Verdana"/>
          <w:sz w:val="20"/>
          <w:szCs w:val="20"/>
        </w:rPr>
        <w:t xml:space="preserve"> </w:t>
      </w:r>
      <w:r w:rsidR="002337F0">
        <w:rPr>
          <w:rFonts w:ascii="Verdana" w:eastAsia="Verdana" w:hAnsi="Verdana" w:cs="Verdana"/>
          <w:sz w:val="20"/>
          <w:szCs w:val="20"/>
        </w:rPr>
        <w:t>Phi is optionally giving an initial value of 0</w:t>
      </w:r>
      <w:r w:rsidR="00CA7EDD">
        <w:rPr>
          <w:rFonts w:ascii="Verdana" w:eastAsia="Verdana" w:hAnsi="Verdana" w:cs="Verdana"/>
          <w:sz w:val="20"/>
          <w:szCs w:val="20"/>
        </w:rPr>
        <w:t xml:space="preserve"> and is used to create the artificial two-stage hurdle model needed to compute the Bayes Factor with sampling weights</w:t>
      </w:r>
      <w:r w:rsidR="002337F0">
        <w:rPr>
          <w:rFonts w:ascii="Verdana" w:eastAsia="Verdana" w:hAnsi="Verdana" w:cs="Verdana"/>
          <w:sz w:val="20"/>
          <w:szCs w:val="20"/>
        </w:rPr>
        <w:t xml:space="preserve">. The PRIOR statement assigns Phi a Binary </w:t>
      </w:r>
      <w:r w:rsidR="001611C8">
        <w:rPr>
          <w:rFonts w:ascii="Verdana" w:eastAsia="Verdana" w:hAnsi="Verdana" w:cs="Verdana"/>
          <w:sz w:val="20"/>
          <w:szCs w:val="20"/>
        </w:rPr>
        <w:t>prior distribution</w:t>
      </w:r>
      <w:r w:rsidR="00B256F2">
        <w:rPr>
          <w:rFonts w:ascii="Verdana" w:eastAsia="Verdana" w:hAnsi="Verdana" w:cs="Verdana"/>
          <w:sz w:val="20"/>
          <w:szCs w:val="20"/>
        </w:rPr>
        <w:t xml:space="preserve"> with probability of .5 (which means </w:t>
      </w:r>
      <w:r w:rsidR="00072E20">
        <w:rPr>
          <w:rFonts w:ascii="Verdana" w:eastAsia="Verdana" w:hAnsi="Verdana" w:cs="Verdana"/>
          <w:sz w:val="20"/>
          <w:szCs w:val="20"/>
        </w:rPr>
        <w:t>there is no prior preference for alternate over the null. Both are equally likely to generate the sample</w:t>
      </w:r>
      <w:r w:rsidR="00B256F2">
        <w:rPr>
          <w:rFonts w:ascii="Verdana" w:eastAsia="Verdana" w:hAnsi="Verdana" w:cs="Verdana"/>
          <w:sz w:val="20"/>
          <w:szCs w:val="20"/>
        </w:rPr>
        <w:t>).</w:t>
      </w:r>
      <w:r w:rsidR="00072E20">
        <w:rPr>
          <w:rFonts w:ascii="Verdana" w:eastAsia="Verdana" w:hAnsi="Verdana" w:cs="Verdana"/>
          <w:sz w:val="20"/>
          <w:szCs w:val="20"/>
        </w:rPr>
        <w:t xml:space="preserve"> </w:t>
      </w:r>
      <w:r w:rsidR="001875D4">
        <w:rPr>
          <w:rFonts w:ascii="Verdana" w:eastAsia="Verdana" w:hAnsi="Verdana" w:cs="Verdana"/>
          <w:sz w:val="20"/>
          <w:szCs w:val="20"/>
        </w:rPr>
        <w:t>The other parameter, b1, is the intercept</w:t>
      </w:r>
      <w:r w:rsidR="00A94AF2">
        <w:rPr>
          <w:rFonts w:ascii="Verdana" w:eastAsia="Verdana" w:hAnsi="Verdana" w:cs="Verdana"/>
          <w:sz w:val="20"/>
          <w:szCs w:val="20"/>
        </w:rPr>
        <w:t>. It is given a diffuse prior. The Model Statement uses the GENERAL option to allow</w:t>
      </w:r>
      <w:r w:rsidR="00573012">
        <w:rPr>
          <w:rFonts w:ascii="Verdana" w:eastAsia="Verdana" w:hAnsi="Verdana" w:cs="Verdana"/>
          <w:sz w:val="20"/>
          <w:szCs w:val="20"/>
        </w:rPr>
        <w:t xml:space="preserve"> the user to specify the response model. In this case, we modify the response model with sample weights to include the parameter Phi, which</w:t>
      </w:r>
      <w:r w:rsidR="004044C8">
        <w:rPr>
          <w:rFonts w:ascii="Verdana" w:eastAsia="Verdana" w:hAnsi="Verdana" w:cs="Verdana"/>
          <w:sz w:val="20"/>
          <w:szCs w:val="20"/>
        </w:rPr>
        <w:t xml:space="preserve"> by randomly taking values of 0 and 1 in MCMC simulation, will</w:t>
      </w:r>
      <w:r w:rsidR="00964D95">
        <w:rPr>
          <w:rFonts w:ascii="Verdana" w:eastAsia="Verdana" w:hAnsi="Verdana" w:cs="Verdana"/>
          <w:sz w:val="20"/>
          <w:szCs w:val="20"/>
        </w:rPr>
        <w:t>, in this case,</w:t>
      </w:r>
      <w:r w:rsidR="004044C8">
        <w:rPr>
          <w:rFonts w:ascii="Verdana" w:eastAsia="Verdana" w:hAnsi="Verdana" w:cs="Verdana"/>
          <w:sz w:val="20"/>
          <w:szCs w:val="20"/>
        </w:rPr>
        <w:t xml:space="preserve"> shift the response model between the alternate and null </w:t>
      </w:r>
      <w:r w:rsidR="00964D95">
        <w:rPr>
          <w:rFonts w:ascii="Verdana" w:eastAsia="Verdana" w:hAnsi="Verdana" w:cs="Verdana"/>
          <w:sz w:val="20"/>
          <w:szCs w:val="20"/>
        </w:rPr>
        <w:t>versions</w:t>
      </w:r>
      <w:r w:rsidR="004044C8">
        <w:rPr>
          <w:rFonts w:ascii="Verdana" w:eastAsia="Verdana" w:hAnsi="Verdana" w:cs="Verdana"/>
          <w:sz w:val="20"/>
          <w:szCs w:val="20"/>
        </w:rPr>
        <w:t xml:space="preserve"> in proportion to the likelihood the data was generated by those models. </w:t>
      </w:r>
      <w:r w:rsidR="00964D95">
        <w:rPr>
          <w:rFonts w:ascii="Verdana" w:eastAsia="Verdana" w:hAnsi="Verdana" w:cs="Verdana"/>
          <w:sz w:val="20"/>
          <w:szCs w:val="20"/>
        </w:rPr>
        <w:t xml:space="preserve">Hence, the posterior of Phi </w:t>
      </w:r>
      <w:r w:rsidR="00245848">
        <w:rPr>
          <w:rFonts w:ascii="Verdana" w:eastAsia="Verdana" w:hAnsi="Verdana" w:cs="Verdana"/>
          <w:sz w:val="20"/>
          <w:szCs w:val="20"/>
        </w:rPr>
        <w:t xml:space="preserve">is the probability the data came from the alternate rather than the null (assuming each prior probability for each model). </w:t>
      </w:r>
      <w:r w:rsidR="00390BD0">
        <w:rPr>
          <w:rFonts w:ascii="Verdana" w:eastAsia="Verdana" w:hAnsi="Verdana" w:cs="Verdana"/>
          <w:sz w:val="20"/>
          <w:szCs w:val="20"/>
        </w:rPr>
        <w:t>As shown next, s</w:t>
      </w:r>
      <w:r w:rsidR="00245848">
        <w:rPr>
          <w:rFonts w:ascii="Verdana" w:eastAsia="Verdana" w:hAnsi="Verdana" w:cs="Verdana"/>
          <w:sz w:val="20"/>
          <w:szCs w:val="20"/>
        </w:rPr>
        <w:t xml:space="preserve">ome postprocessing of the posterior sample can </w:t>
      </w:r>
      <w:r w:rsidR="00390BD0">
        <w:rPr>
          <w:rFonts w:ascii="Verdana" w:eastAsia="Verdana" w:hAnsi="Verdana" w:cs="Verdana"/>
          <w:sz w:val="20"/>
          <w:szCs w:val="20"/>
        </w:rPr>
        <w:t>convert this information into the Bayes Factor:</w:t>
      </w:r>
    </w:p>
    <w:p w14:paraId="5E362F98" w14:textId="5FCCC165" w:rsidR="00321F25" w:rsidRDefault="00321F25" w:rsidP="2DCD9A74">
      <w:pPr>
        <w:rPr>
          <w:rFonts w:ascii="Courier New" w:eastAsia="Courier New" w:hAnsi="Courier New" w:cs="Courier New"/>
          <w:sz w:val="20"/>
          <w:szCs w:val="20"/>
        </w:rPr>
      </w:pPr>
    </w:p>
    <w:p w14:paraId="108144C8" w14:textId="73283364"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DATA </w:t>
      </w:r>
      <w:proofErr w:type="spellStart"/>
      <w:r w:rsidRPr="2DCD9A74">
        <w:rPr>
          <w:rFonts w:ascii="Courier New" w:eastAsia="Courier New" w:hAnsi="Courier New" w:cs="Courier New"/>
          <w:sz w:val="20"/>
          <w:szCs w:val="20"/>
        </w:rPr>
        <w:t>BF_neg</w:t>
      </w:r>
      <w:proofErr w:type="spellEnd"/>
      <w:r w:rsidRPr="2DCD9A74">
        <w:rPr>
          <w:rFonts w:ascii="Courier New" w:eastAsia="Courier New" w:hAnsi="Courier New" w:cs="Courier New"/>
          <w:sz w:val="20"/>
          <w:szCs w:val="20"/>
        </w:rPr>
        <w:t xml:space="preserve">; SET </w:t>
      </w:r>
      <w:proofErr w:type="spellStart"/>
      <w:r w:rsidRPr="2DCD9A74">
        <w:rPr>
          <w:rFonts w:ascii="Courier New" w:eastAsia="Courier New" w:hAnsi="Courier New" w:cs="Courier New"/>
          <w:sz w:val="20"/>
          <w:szCs w:val="20"/>
        </w:rPr>
        <w:t>BF_neg</w:t>
      </w:r>
      <w:proofErr w:type="spellEnd"/>
      <w:r w:rsidRPr="2DCD9A74">
        <w:rPr>
          <w:rFonts w:ascii="Courier New" w:eastAsia="Courier New" w:hAnsi="Courier New" w:cs="Courier New"/>
          <w:sz w:val="20"/>
          <w:szCs w:val="20"/>
        </w:rPr>
        <w:t xml:space="preserve">; *Calculate BF </w:t>
      </w:r>
      <w:proofErr w:type="gramStart"/>
      <w:r w:rsidRPr="2DCD9A74">
        <w:rPr>
          <w:rFonts w:ascii="Courier New" w:eastAsia="Courier New" w:hAnsi="Courier New" w:cs="Courier New"/>
          <w:sz w:val="20"/>
          <w:szCs w:val="20"/>
        </w:rPr>
        <w:t>value;</w:t>
      </w:r>
      <w:proofErr w:type="gramEnd"/>
    </w:p>
    <w:p w14:paraId="0FEFC901" w14:textId="6C59E87C"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IF Parameter='Phi</w:t>
      </w:r>
      <w:proofErr w:type="gramStart"/>
      <w:r w:rsidRPr="2DCD9A74">
        <w:rPr>
          <w:rFonts w:ascii="Courier New" w:eastAsia="Courier New" w:hAnsi="Courier New" w:cs="Courier New"/>
          <w:sz w:val="20"/>
          <w:szCs w:val="20"/>
        </w:rPr>
        <w:t>';</w:t>
      </w:r>
      <w:proofErr w:type="gramEnd"/>
    </w:p>
    <w:p w14:paraId="0665A132" w14:textId="3D4115D0"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IF Mean=0 THEN BF=0; *Zero BF indicates inexact BF value but can infer value is extremely favorable to </w:t>
      </w:r>
      <w:proofErr w:type="gramStart"/>
      <w:r w:rsidRPr="2DCD9A74">
        <w:rPr>
          <w:rFonts w:ascii="Courier New" w:eastAsia="Courier New" w:hAnsi="Courier New" w:cs="Courier New"/>
          <w:sz w:val="20"/>
          <w:szCs w:val="20"/>
        </w:rPr>
        <w:t>null;</w:t>
      </w:r>
      <w:proofErr w:type="gramEnd"/>
    </w:p>
    <w:p w14:paraId="45E01B5D" w14:textId="0AB90905"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IF 0 &lt; Mean &lt; 1 THEN BF=Mean/(1-Mean</w:t>
      </w:r>
      <w:proofErr w:type="gramStart"/>
      <w:r w:rsidRPr="2DCD9A74">
        <w:rPr>
          <w:rFonts w:ascii="Courier New" w:eastAsia="Courier New" w:hAnsi="Courier New" w:cs="Courier New"/>
          <w:sz w:val="20"/>
          <w:szCs w:val="20"/>
        </w:rPr>
        <w:t>);</w:t>
      </w:r>
      <w:proofErr w:type="gramEnd"/>
      <w:r w:rsidRPr="2DCD9A74">
        <w:rPr>
          <w:rFonts w:ascii="Courier New" w:eastAsia="Courier New" w:hAnsi="Courier New" w:cs="Courier New"/>
          <w:sz w:val="20"/>
          <w:szCs w:val="20"/>
        </w:rPr>
        <w:t xml:space="preserve"> </w:t>
      </w:r>
    </w:p>
    <w:p w14:paraId="47803F35" w14:textId="7E8A37F2"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IF MEAN=1 THEN BF=&amp;N; *BF = N indicates inexact BF value but can infer value is extremely favorable to </w:t>
      </w:r>
      <w:proofErr w:type="gramStart"/>
      <w:r w:rsidRPr="2DCD9A74">
        <w:rPr>
          <w:rFonts w:ascii="Courier New" w:eastAsia="Courier New" w:hAnsi="Courier New" w:cs="Courier New"/>
          <w:sz w:val="20"/>
          <w:szCs w:val="20"/>
        </w:rPr>
        <w:t>alternate;</w:t>
      </w:r>
      <w:proofErr w:type="gramEnd"/>
    </w:p>
    <w:p w14:paraId="60794A6F" w14:textId="4A05732A" w:rsidR="2DCD9A74" w:rsidRDefault="2DCD9A74" w:rsidP="2DCD9A74">
      <w:pPr>
        <w:rPr>
          <w:rFonts w:ascii="Courier New" w:eastAsia="Courier New" w:hAnsi="Courier New" w:cs="Courier New"/>
          <w:sz w:val="20"/>
          <w:szCs w:val="20"/>
        </w:rPr>
      </w:pPr>
      <w:proofErr w:type="gramStart"/>
      <w:r w:rsidRPr="2DCD9A74">
        <w:rPr>
          <w:rFonts w:ascii="Courier New" w:eastAsia="Courier New" w:hAnsi="Courier New" w:cs="Courier New"/>
          <w:sz w:val="20"/>
          <w:szCs w:val="20"/>
        </w:rPr>
        <w:t>RUN;</w:t>
      </w:r>
      <w:proofErr w:type="gramEnd"/>
    </w:p>
    <w:p w14:paraId="52AFD53A" w14:textId="21426F9A"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PROC PRINT DATA=</w:t>
      </w:r>
      <w:proofErr w:type="spellStart"/>
      <w:r w:rsidRPr="2DCD9A74">
        <w:rPr>
          <w:rFonts w:ascii="Courier New" w:eastAsia="Courier New" w:hAnsi="Courier New" w:cs="Courier New"/>
          <w:sz w:val="20"/>
          <w:szCs w:val="20"/>
        </w:rPr>
        <w:t>BF_neg</w:t>
      </w:r>
      <w:proofErr w:type="spellEnd"/>
      <w:r w:rsidRPr="2DCD9A74">
        <w:rPr>
          <w:rFonts w:ascii="Courier New" w:eastAsia="Courier New" w:hAnsi="Courier New" w:cs="Courier New"/>
          <w:sz w:val="20"/>
          <w:szCs w:val="20"/>
        </w:rPr>
        <w:t xml:space="preserve"> </w:t>
      </w:r>
      <w:proofErr w:type="gramStart"/>
      <w:r w:rsidRPr="2DCD9A74">
        <w:rPr>
          <w:rFonts w:ascii="Courier New" w:eastAsia="Courier New" w:hAnsi="Courier New" w:cs="Courier New"/>
          <w:sz w:val="20"/>
          <w:szCs w:val="20"/>
        </w:rPr>
        <w:t>NOOBS;</w:t>
      </w:r>
      <w:proofErr w:type="gramEnd"/>
    </w:p>
    <w:p w14:paraId="1EB13CF7" w14:textId="6DE4C576"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TITLE "Bayes Factor Analysis</w:t>
      </w:r>
      <w:proofErr w:type="gramStart"/>
      <w:r w:rsidRPr="2DCD9A74">
        <w:rPr>
          <w:rFonts w:ascii="Courier New" w:eastAsia="Courier New" w:hAnsi="Courier New" w:cs="Courier New"/>
          <w:sz w:val="20"/>
          <w:szCs w:val="20"/>
        </w:rPr>
        <w:t>";</w:t>
      </w:r>
      <w:proofErr w:type="gramEnd"/>
    </w:p>
    <w:p w14:paraId="311F82E5" w14:textId="169E7FB6"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VAR </w:t>
      </w:r>
      <w:proofErr w:type="gramStart"/>
      <w:r w:rsidRPr="2DCD9A74">
        <w:rPr>
          <w:rFonts w:ascii="Courier New" w:eastAsia="Courier New" w:hAnsi="Courier New" w:cs="Courier New"/>
          <w:sz w:val="20"/>
          <w:szCs w:val="20"/>
        </w:rPr>
        <w:t>BF;</w:t>
      </w:r>
      <w:proofErr w:type="gramEnd"/>
    </w:p>
    <w:p w14:paraId="4967CEEC" w14:textId="19C1B576"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FOOTNOTE "Model</w:t>
      </w:r>
      <w:proofErr w:type="gramStart"/>
      <w:r w:rsidRPr="2DCD9A74">
        <w:rPr>
          <w:rFonts w:ascii="Courier New" w:eastAsia="Courier New" w:hAnsi="Courier New" w:cs="Courier New"/>
          <w:sz w:val="20"/>
          <w:szCs w:val="20"/>
        </w:rPr>
        <w:t>";</w:t>
      </w:r>
      <w:proofErr w:type="gramEnd"/>
    </w:p>
    <w:p w14:paraId="636EAC1C" w14:textId="70D6B3E4" w:rsidR="2DCD9A74" w:rsidRDefault="2DCD9A74" w:rsidP="2DCD9A74">
      <w:pPr>
        <w:rPr>
          <w:rFonts w:ascii="Courier New" w:eastAsia="Courier New" w:hAnsi="Courier New" w:cs="Courier New"/>
          <w:sz w:val="20"/>
          <w:szCs w:val="20"/>
        </w:rPr>
      </w:pPr>
      <w:r w:rsidRPr="2DCD9A74">
        <w:rPr>
          <w:rFonts w:ascii="Courier New" w:eastAsia="Courier New" w:hAnsi="Courier New" w:cs="Courier New"/>
          <w:sz w:val="20"/>
          <w:szCs w:val="20"/>
        </w:rPr>
        <w:t xml:space="preserve">RUN; TITLE; </w:t>
      </w:r>
      <w:proofErr w:type="gramStart"/>
      <w:r w:rsidRPr="2DCD9A74">
        <w:rPr>
          <w:rFonts w:ascii="Courier New" w:eastAsia="Courier New" w:hAnsi="Courier New" w:cs="Courier New"/>
          <w:sz w:val="20"/>
          <w:szCs w:val="20"/>
        </w:rPr>
        <w:t>FOOTNOTE;</w:t>
      </w:r>
      <w:proofErr w:type="gramEnd"/>
    </w:p>
    <w:p w14:paraId="0E672239" w14:textId="3301831C" w:rsidR="2DCD9A74" w:rsidRDefault="2DCD9A74" w:rsidP="2DCD9A74">
      <w:pPr>
        <w:rPr>
          <w:rFonts w:eastAsia="Calibri"/>
          <w:sz w:val="20"/>
          <w:szCs w:val="20"/>
        </w:rPr>
      </w:pPr>
    </w:p>
    <w:p w14:paraId="7EA270A7" w14:textId="4A4D7726" w:rsidR="00390BD0" w:rsidRDefault="00390BD0" w:rsidP="00390BD0">
      <w:r>
        <w:rPr>
          <w:rFonts w:ascii="Verdana" w:eastAsia="Verdana" w:hAnsi="Verdana" w:cs="Verdana"/>
          <w:sz w:val="20"/>
          <w:szCs w:val="20"/>
        </w:rPr>
        <w:t xml:space="preserve">In this DATA STEP, </w:t>
      </w:r>
      <w:r w:rsidR="00A40747">
        <w:rPr>
          <w:rFonts w:ascii="Verdana" w:eastAsia="Verdana" w:hAnsi="Verdana" w:cs="Verdana"/>
          <w:sz w:val="20"/>
          <w:szCs w:val="20"/>
        </w:rPr>
        <w:t xml:space="preserve">the posterior sample for parameter Phi is used to create the Bayes Factor with sample weights. One important thing to note is that IF-THEN statements </w:t>
      </w:r>
      <w:r w:rsidR="00A43D0E">
        <w:rPr>
          <w:rFonts w:ascii="Verdana" w:eastAsia="Verdana" w:hAnsi="Verdana" w:cs="Verdana"/>
          <w:sz w:val="20"/>
          <w:szCs w:val="20"/>
        </w:rPr>
        <w:t xml:space="preserve">in the DATA STEP </w:t>
      </w:r>
      <w:r w:rsidR="00A40747">
        <w:rPr>
          <w:rFonts w:ascii="Verdana" w:eastAsia="Verdana" w:hAnsi="Verdana" w:cs="Verdana"/>
          <w:sz w:val="20"/>
          <w:szCs w:val="20"/>
        </w:rPr>
        <w:t>are used to safeguard against instances when the alternate and null</w:t>
      </w:r>
      <w:r w:rsidR="00ED12C7">
        <w:rPr>
          <w:rFonts w:ascii="Verdana" w:eastAsia="Verdana" w:hAnsi="Verdana" w:cs="Verdana"/>
          <w:sz w:val="20"/>
          <w:szCs w:val="20"/>
        </w:rPr>
        <w:t xml:space="preserve"> fit the data exceptionally better than the other</w:t>
      </w:r>
      <w:r w:rsidR="00A43D0E">
        <w:rPr>
          <w:rFonts w:ascii="Verdana" w:eastAsia="Verdana" w:hAnsi="Verdana" w:cs="Verdana"/>
          <w:sz w:val="20"/>
          <w:szCs w:val="20"/>
        </w:rPr>
        <w:t xml:space="preserve"> and so MCMC simulation never selects the opposite model</w:t>
      </w:r>
      <w:r w:rsidR="00ED12C7">
        <w:rPr>
          <w:rFonts w:ascii="Verdana" w:eastAsia="Verdana" w:hAnsi="Verdana" w:cs="Verdana"/>
          <w:sz w:val="20"/>
          <w:szCs w:val="20"/>
        </w:rPr>
        <w:t>. In th</w:t>
      </w:r>
      <w:r w:rsidR="00A43D0E">
        <w:rPr>
          <w:rFonts w:ascii="Verdana" w:eastAsia="Verdana" w:hAnsi="Verdana" w:cs="Verdana"/>
          <w:sz w:val="20"/>
          <w:szCs w:val="20"/>
        </w:rPr>
        <w:t>ese</w:t>
      </w:r>
      <w:r w:rsidR="00ED12C7">
        <w:rPr>
          <w:rFonts w:ascii="Verdana" w:eastAsia="Verdana" w:hAnsi="Verdana" w:cs="Verdana"/>
          <w:sz w:val="20"/>
          <w:szCs w:val="20"/>
        </w:rPr>
        <w:t xml:space="preserve"> </w:t>
      </w:r>
      <w:r w:rsidR="000B645A">
        <w:rPr>
          <w:rFonts w:ascii="Verdana" w:eastAsia="Verdana" w:hAnsi="Verdana" w:cs="Verdana"/>
          <w:sz w:val="20"/>
          <w:szCs w:val="20"/>
        </w:rPr>
        <w:t xml:space="preserve">extreme </w:t>
      </w:r>
      <w:r w:rsidR="00ED12C7">
        <w:rPr>
          <w:rFonts w:ascii="Verdana" w:eastAsia="Verdana" w:hAnsi="Verdana" w:cs="Verdana"/>
          <w:sz w:val="20"/>
          <w:szCs w:val="20"/>
        </w:rPr>
        <w:t xml:space="preserve">cases, PHI </w:t>
      </w:r>
      <w:r w:rsidR="000B645A">
        <w:rPr>
          <w:rFonts w:ascii="Verdana" w:eastAsia="Verdana" w:hAnsi="Verdana" w:cs="Verdana"/>
          <w:sz w:val="20"/>
          <w:szCs w:val="20"/>
        </w:rPr>
        <w:t>becomes either</w:t>
      </w:r>
      <w:r w:rsidR="00ED12C7">
        <w:rPr>
          <w:rFonts w:ascii="Verdana" w:eastAsia="Verdana" w:hAnsi="Verdana" w:cs="Verdana"/>
          <w:sz w:val="20"/>
          <w:szCs w:val="20"/>
        </w:rPr>
        <w:t xml:space="preserve"> 0 or 1</w:t>
      </w:r>
      <w:r w:rsidR="000B645A">
        <w:rPr>
          <w:rFonts w:ascii="Verdana" w:eastAsia="Verdana" w:hAnsi="Verdana" w:cs="Verdana"/>
          <w:sz w:val="20"/>
          <w:szCs w:val="20"/>
        </w:rPr>
        <w:t xml:space="preserve">, which makes it impossible to estimate the </w:t>
      </w:r>
      <w:r w:rsidR="00A43D0E">
        <w:rPr>
          <w:rFonts w:ascii="Verdana" w:eastAsia="Verdana" w:hAnsi="Verdana" w:cs="Verdana"/>
          <w:sz w:val="20"/>
          <w:szCs w:val="20"/>
        </w:rPr>
        <w:t xml:space="preserve">exact </w:t>
      </w:r>
      <w:r w:rsidR="000B645A">
        <w:rPr>
          <w:rFonts w:ascii="Verdana" w:eastAsia="Verdana" w:hAnsi="Verdana" w:cs="Verdana"/>
          <w:sz w:val="20"/>
          <w:szCs w:val="20"/>
        </w:rPr>
        <w:t xml:space="preserve">BF with the formula because of </w:t>
      </w:r>
      <w:r w:rsidR="00A43D0E">
        <w:rPr>
          <w:rFonts w:ascii="Verdana" w:eastAsia="Verdana" w:hAnsi="Verdana" w:cs="Verdana"/>
          <w:sz w:val="20"/>
          <w:szCs w:val="20"/>
        </w:rPr>
        <w:t xml:space="preserve">a possible </w:t>
      </w:r>
      <w:r w:rsidR="000B645A">
        <w:rPr>
          <w:rFonts w:ascii="Verdana" w:eastAsia="Verdana" w:hAnsi="Verdana" w:cs="Verdana"/>
          <w:sz w:val="20"/>
          <w:szCs w:val="20"/>
        </w:rPr>
        <w:t>division by zero</w:t>
      </w:r>
      <w:r w:rsidR="00A43D0E">
        <w:rPr>
          <w:rFonts w:ascii="Verdana" w:eastAsia="Verdana" w:hAnsi="Verdana" w:cs="Verdana"/>
          <w:sz w:val="20"/>
          <w:szCs w:val="20"/>
        </w:rPr>
        <w:t xml:space="preserve"> problem</w:t>
      </w:r>
      <w:r w:rsidR="000B645A">
        <w:rPr>
          <w:rFonts w:ascii="Verdana" w:eastAsia="Verdana" w:hAnsi="Verdana" w:cs="Verdana"/>
          <w:sz w:val="20"/>
          <w:szCs w:val="20"/>
        </w:rPr>
        <w:t xml:space="preserve">. </w:t>
      </w:r>
      <w:r w:rsidR="00383C5B">
        <w:rPr>
          <w:rFonts w:ascii="Verdana" w:eastAsia="Verdana" w:hAnsi="Verdana" w:cs="Verdana"/>
          <w:sz w:val="20"/>
          <w:szCs w:val="20"/>
        </w:rPr>
        <w:t xml:space="preserve">To compensate, we automatically set the BF to be 0 if the Mean of Phi = 0 and </w:t>
      </w:r>
      <w:r w:rsidR="00854BD8">
        <w:rPr>
          <w:rFonts w:ascii="Verdana" w:eastAsia="Verdana" w:hAnsi="Verdana" w:cs="Verdana"/>
          <w:sz w:val="20"/>
          <w:szCs w:val="20"/>
        </w:rPr>
        <w:t xml:space="preserve">to </w:t>
      </w:r>
      <w:r w:rsidR="00A43D0E">
        <w:rPr>
          <w:rFonts w:ascii="Verdana" w:eastAsia="Verdana" w:hAnsi="Verdana" w:cs="Verdana"/>
          <w:sz w:val="20"/>
          <w:szCs w:val="20"/>
        </w:rPr>
        <w:t xml:space="preserve">an </w:t>
      </w:r>
      <w:r w:rsidR="00854BD8">
        <w:rPr>
          <w:rFonts w:ascii="Verdana" w:eastAsia="Verdana" w:hAnsi="Verdana" w:cs="Verdana"/>
          <w:sz w:val="20"/>
          <w:szCs w:val="20"/>
        </w:rPr>
        <w:t xml:space="preserve">arbitrarily high value &amp;N </w:t>
      </w:r>
      <w:r w:rsidR="00A43D0E">
        <w:rPr>
          <w:rFonts w:ascii="Verdana" w:eastAsia="Verdana" w:hAnsi="Verdana" w:cs="Verdana"/>
          <w:sz w:val="20"/>
          <w:szCs w:val="20"/>
        </w:rPr>
        <w:t xml:space="preserve">(say 100) </w:t>
      </w:r>
      <w:r w:rsidR="00854BD8">
        <w:rPr>
          <w:rFonts w:ascii="Verdana" w:eastAsia="Verdana" w:hAnsi="Verdana" w:cs="Verdana"/>
          <w:sz w:val="20"/>
          <w:szCs w:val="20"/>
        </w:rPr>
        <w:t xml:space="preserve">if Mean=1. However, if Mean is between 0 and 1 </w:t>
      </w:r>
      <w:r w:rsidR="00A43D0E">
        <w:rPr>
          <w:rFonts w:ascii="Verdana" w:eastAsia="Verdana" w:hAnsi="Verdana" w:cs="Verdana"/>
          <w:sz w:val="20"/>
          <w:szCs w:val="20"/>
        </w:rPr>
        <w:t xml:space="preserve">(as it normally will be the probability of one model does not overwhelm the probability of the other) </w:t>
      </w:r>
      <w:r w:rsidR="00854BD8">
        <w:rPr>
          <w:rFonts w:ascii="Verdana" w:eastAsia="Verdana" w:hAnsi="Verdana" w:cs="Verdana"/>
          <w:sz w:val="20"/>
          <w:szCs w:val="20"/>
        </w:rPr>
        <w:t xml:space="preserve">then we use the formula to compute </w:t>
      </w:r>
      <w:r w:rsidR="00A43D0E">
        <w:rPr>
          <w:rFonts w:ascii="Verdana" w:eastAsia="Verdana" w:hAnsi="Verdana" w:cs="Verdana"/>
          <w:sz w:val="20"/>
          <w:szCs w:val="20"/>
        </w:rPr>
        <w:t>a precise</w:t>
      </w:r>
      <w:r w:rsidR="00854BD8">
        <w:rPr>
          <w:rFonts w:ascii="Verdana" w:eastAsia="Verdana" w:hAnsi="Verdana" w:cs="Verdana"/>
          <w:sz w:val="20"/>
          <w:szCs w:val="20"/>
        </w:rPr>
        <w:t xml:space="preserve"> BF. </w:t>
      </w:r>
      <w:r w:rsidR="00ED12C7">
        <w:rPr>
          <w:rFonts w:ascii="Verdana" w:eastAsia="Verdana" w:hAnsi="Verdana" w:cs="Verdana"/>
          <w:sz w:val="20"/>
          <w:szCs w:val="20"/>
        </w:rPr>
        <w:t xml:space="preserve"> </w:t>
      </w:r>
      <w:r w:rsidR="00A40747">
        <w:rPr>
          <w:rFonts w:ascii="Verdana" w:eastAsia="Verdana" w:hAnsi="Verdana" w:cs="Verdana"/>
          <w:sz w:val="20"/>
          <w:szCs w:val="20"/>
        </w:rPr>
        <w:t xml:space="preserve"> </w:t>
      </w:r>
    </w:p>
    <w:p w14:paraId="5C0FA21C" w14:textId="5ECAFD50" w:rsidR="009711DF" w:rsidRDefault="009711DF" w:rsidP="2DCD9A74">
      <w:pPr>
        <w:rPr>
          <w:rFonts w:eastAsia="Calibri"/>
          <w:sz w:val="20"/>
          <w:szCs w:val="20"/>
        </w:rPr>
      </w:pPr>
    </w:p>
    <w:p w14:paraId="57AC6E9C" w14:textId="600E3005" w:rsidR="2DCD9A74" w:rsidRDefault="2DCD9A74">
      <w:r w:rsidRPr="2DCD9A74">
        <w:rPr>
          <w:rFonts w:ascii="Verdana" w:eastAsia="Verdana" w:hAnsi="Verdana" w:cs="Verdana"/>
          <w:b/>
          <w:bCs/>
          <w:sz w:val="24"/>
          <w:szCs w:val="24"/>
        </w:rPr>
        <w:t>RESULTS</w:t>
      </w:r>
    </w:p>
    <w:p w14:paraId="2504B76E" w14:textId="2A6AE692" w:rsidR="2DCD9A74" w:rsidRDefault="2DCD9A74" w:rsidP="2DCD9A74">
      <w:pPr>
        <w:rPr>
          <w:rFonts w:eastAsia="Calibri"/>
          <w:b/>
          <w:bCs/>
        </w:rPr>
      </w:pPr>
    </w:p>
    <w:p w14:paraId="4632EC52" w14:textId="230C9725" w:rsidR="2DCD9A74" w:rsidRDefault="2DCD9A74">
      <w:r w:rsidRPr="2DCD9A74">
        <w:rPr>
          <w:rFonts w:ascii="Verdana" w:eastAsia="Verdana" w:hAnsi="Verdana" w:cs="Verdana"/>
          <w:sz w:val="20"/>
          <w:szCs w:val="20"/>
        </w:rPr>
        <w:t>We now present a subset of results from both the frequentist NHST framework and the Bayesian framework. Additionally, we expose the differences in inferences from the two methodological approaches. We focus on the outcome variable regarding help with college applications.</w:t>
      </w:r>
    </w:p>
    <w:p w14:paraId="5EC449A9" w14:textId="33161613" w:rsidR="2DCD9A74" w:rsidRDefault="2DCD9A74" w:rsidP="2DCD9A74">
      <w:pPr>
        <w:pStyle w:val="PaperBody"/>
      </w:pPr>
    </w:p>
    <w:p w14:paraId="1A7F6A61" w14:textId="6A6A0B2D" w:rsidR="2DCD9A74" w:rsidRDefault="2DCD9A74">
      <w:r w:rsidRPr="2DCD9A74">
        <w:rPr>
          <w:rFonts w:ascii="Verdana" w:eastAsia="Verdana" w:hAnsi="Verdana" w:cs="Verdana"/>
          <w:b/>
          <w:bCs/>
          <w:sz w:val="24"/>
          <w:szCs w:val="24"/>
        </w:rPr>
        <w:t>Frequentist Inference</w:t>
      </w:r>
    </w:p>
    <w:p w14:paraId="6757AF90" w14:textId="652DF1A4" w:rsidR="2DCD9A74" w:rsidRDefault="2DCD9A74" w:rsidP="2DCD9A74">
      <w:pPr>
        <w:rPr>
          <w:rFonts w:eastAsia="Calibri"/>
          <w:b/>
          <w:bCs/>
        </w:rPr>
      </w:pPr>
    </w:p>
    <w:p w14:paraId="6B62A893" w14:textId="7AB4C57B" w:rsidR="2DCD9A74" w:rsidRDefault="2DCD9A74">
      <w:r w:rsidRPr="2DCD9A74">
        <w:rPr>
          <w:rFonts w:ascii="Verdana" w:eastAsia="Verdana" w:hAnsi="Verdana" w:cs="Verdana"/>
          <w:sz w:val="20"/>
          <w:szCs w:val="20"/>
        </w:rPr>
        <w:t xml:space="preserve">The model-implied probability for White students from high income household without disabilities was .29 (Est = -0.88, SE = 0.14, p &lt; 0.001). Of the 18 effects, two were statistically significant: White students with sensory disabilities from high income </w:t>
      </w:r>
      <w:r w:rsidRPr="2DCD9A74">
        <w:rPr>
          <w:rFonts w:ascii="Verdana" w:eastAsia="Verdana" w:hAnsi="Verdana" w:cs="Verdana"/>
          <w:sz w:val="20"/>
          <w:szCs w:val="20"/>
        </w:rPr>
        <w:lastRenderedPageBreak/>
        <w:t>households (</w:t>
      </w:r>
      <w:proofErr w:type="spellStart"/>
      <w:r w:rsidRPr="2DCD9A74">
        <w:rPr>
          <w:rFonts w:ascii="Verdana" w:eastAsia="Verdana" w:hAnsi="Verdana" w:cs="Verdana"/>
          <w:sz w:val="20"/>
          <w:szCs w:val="20"/>
        </w:rPr>
        <w:t>Pr</w:t>
      </w:r>
      <w:proofErr w:type="spellEnd"/>
      <w:r w:rsidRPr="2DCD9A74">
        <w:rPr>
          <w:rFonts w:ascii="Verdana" w:eastAsia="Verdana" w:hAnsi="Verdana" w:cs="Verdana"/>
          <w:sz w:val="20"/>
          <w:szCs w:val="20"/>
        </w:rPr>
        <w:t xml:space="preserve"> = .16, Est = -0.75, SE = 0.31, p = 0.017; OR = 0.47) and Black students without disabilities from low-income households (</w:t>
      </w:r>
      <w:proofErr w:type="spellStart"/>
      <w:r w:rsidRPr="2DCD9A74">
        <w:rPr>
          <w:rFonts w:ascii="Verdana" w:eastAsia="Verdana" w:hAnsi="Verdana" w:cs="Verdana"/>
          <w:sz w:val="20"/>
          <w:szCs w:val="20"/>
        </w:rPr>
        <w:t>Pr</w:t>
      </w:r>
      <w:proofErr w:type="spellEnd"/>
      <w:r w:rsidRPr="2DCD9A74">
        <w:rPr>
          <w:rFonts w:ascii="Verdana" w:eastAsia="Verdana" w:hAnsi="Verdana" w:cs="Verdana"/>
          <w:sz w:val="20"/>
          <w:szCs w:val="20"/>
        </w:rPr>
        <w:t xml:space="preserve"> = .45, Est = 0.66, SE = 0.31, p = 0.033, OR = 1.93). Additionally, White students with multiple disabilities from high income households were found to have a model-implied probability of .16 (versus .29); however, their partial log-odds were not significantly different from the reference group (p = 0.08).</w:t>
      </w:r>
    </w:p>
    <w:p w14:paraId="1923E7CC" w14:textId="6720B426" w:rsidR="2DCD9A74" w:rsidRDefault="2DCD9A74" w:rsidP="2DCD9A74">
      <w:pPr>
        <w:rPr>
          <w:rFonts w:eastAsia="Calibri"/>
        </w:rPr>
      </w:pPr>
    </w:p>
    <w:p w14:paraId="7B971C11" w14:textId="772902D5" w:rsidR="2DCD9A74" w:rsidRDefault="2DCD9A74">
      <w:r w:rsidRPr="2DCD9A74">
        <w:rPr>
          <w:rFonts w:ascii="Verdana" w:eastAsia="Verdana" w:hAnsi="Verdana" w:cs="Verdana"/>
          <w:b/>
          <w:bCs/>
          <w:sz w:val="24"/>
          <w:szCs w:val="24"/>
        </w:rPr>
        <w:t>Bayesian Inference</w:t>
      </w:r>
    </w:p>
    <w:p w14:paraId="59F520D0" w14:textId="68E650A2" w:rsidR="2DCD9A74" w:rsidRDefault="2DCD9A74" w:rsidP="2DCD9A74">
      <w:pPr>
        <w:rPr>
          <w:rFonts w:eastAsia="Calibri"/>
          <w:b/>
          <w:bCs/>
        </w:rPr>
      </w:pPr>
    </w:p>
    <w:p w14:paraId="2DFBCF46" w14:textId="0F03F3F3" w:rsidR="2DCD9A74" w:rsidRDefault="2DCD9A74">
      <w:r w:rsidRPr="2DCD9A74">
        <w:rPr>
          <w:rFonts w:ascii="Verdana" w:eastAsia="Verdana" w:hAnsi="Verdana" w:cs="Verdana"/>
          <w:sz w:val="20"/>
          <w:szCs w:val="20"/>
        </w:rPr>
        <w:t xml:space="preserve">Turning to Bayesian methods, we can gauge the amount of evidence for each of these effects. For instance, the difference in probabilities found between the reference group and White students with sensory disabilities from high income households (.29 versus .16) was found to be 5.39 times more likely to have generated the data than the null model. Similarly, the difference in probabilities between the reference group and Black students without disabilities from low-income households (.29 versus .45) was identified was identified as the most likely source of the data and this model was 4.72 times more likely. In </w:t>
      </w:r>
      <w:proofErr w:type="gramStart"/>
      <w:r w:rsidRPr="2DCD9A74">
        <w:rPr>
          <w:rFonts w:ascii="Verdana" w:eastAsia="Verdana" w:hAnsi="Verdana" w:cs="Verdana"/>
          <w:sz w:val="20"/>
          <w:szCs w:val="20"/>
        </w:rPr>
        <w:t>both of these</w:t>
      </w:r>
      <w:proofErr w:type="gramEnd"/>
      <w:r w:rsidRPr="2DCD9A74">
        <w:rPr>
          <w:rFonts w:ascii="Verdana" w:eastAsia="Verdana" w:hAnsi="Verdana" w:cs="Verdana"/>
          <w:sz w:val="20"/>
          <w:szCs w:val="20"/>
        </w:rPr>
        <w:t xml:space="preserve"> cases, frequentist and Bayesian inference arrive at the same decision, with the latter affording a richer interpretation of the effect. On the other hand, the alternative model in which a difference in probabilities between the reference group and White students with multiple disabilities from high-income households exists was found to be 4.48 times more likely than the null model in which there was no difference in probabilities. In this example, frequentist and Bayesian inference come to different conclusions where the former tells us there is no difference based on the reject/fail to reject options of the NHST framework; </w:t>
      </w:r>
      <w:proofErr w:type="gramStart"/>
      <w:r w:rsidRPr="2DCD9A74">
        <w:rPr>
          <w:rFonts w:ascii="Verdana" w:eastAsia="Verdana" w:hAnsi="Verdana" w:cs="Verdana"/>
          <w:sz w:val="20"/>
          <w:szCs w:val="20"/>
        </w:rPr>
        <w:t>whereas,</w:t>
      </w:r>
      <w:proofErr w:type="gramEnd"/>
      <w:r w:rsidRPr="2DCD9A74">
        <w:rPr>
          <w:rFonts w:ascii="Verdana" w:eastAsia="Verdana" w:hAnsi="Verdana" w:cs="Verdana"/>
          <w:sz w:val="20"/>
          <w:szCs w:val="20"/>
        </w:rPr>
        <w:t xml:space="preserve"> the Bayes Factor suggests that true difference in probabilities is likely illustrating that it is more sensitive to differences when group sample sizes are small.</w:t>
      </w:r>
    </w:p>
    <w:p w14:paraId="60DF836A" w14:textId="139DBC9E" w:rsidR="2DCD9A74" w:rsidRDefault="2DCD9A74" w:rsidP="2DCD9A74">
      <w:pPr>
        <w:rPr>
          <w:rFonts w:eastAsia="Calibri"/>
        </w:rPr>
      </w:pPr>
    </w:p>
    <w:p w14:paraId="4E17CEB0" w14:textId="77777777" w:rsidR="00CE3A6F" w:rsidRDefault="0030406D" w:rsidP="00CE3A6F">
      <w:pPr>
        <w:pStyle w:val="Heading1"/>
      </w:pPr>
      <w:bookmarkStart w:id="2" w:name="_Toc272756045"/>
      <w:r w:rsidRPr="000B0D18">
        <w:t>C</w:t>
      </w:r>
      <w:r w:rsidR="005C2A9F" w:rsidRPr="000B0D18">
        <w:t>onclusion</w:t>
      </w:r>
      <w:bookmarkEnd w:id="2"/>
    </w:p>
    <w:p w14:paraId="687EF2D1" w14:textId="0D0B60D7" w:rsidR="0092739A" w:rsidRDefault="0054529F" w:rsidP="00974613">
      <w:pPr>
        <w:pStyle w:val="PaperBody"/>
        <w:rPr>
          <w:rFonts w:cs="Arial"/>
        </w:rPr>
      </w:pPr>
      <w:r>
        <w:rPr>
          <w:rFonts w:cs="Arial"/>
        </w:rPr>
        <w:t>This paper set out to accomplish two main objectives. First, we wanted to elucidate the difference between sampling designs (simple versus complex) and to advocate for use of sampling weights when available to produce the most meaningful results as possible given the population at hand</w:t>
      </w:r>
      <w:r w:rsidR="00A43D0E">
        <w:rPr>
          <w:rFonts w:cs="Arial"/>
        </w:rPr>
        <w:t xml:space="preserve"> (assuming inferences from sample to population is the aim)</w:t>
      </w:r>
      <w:r>
        <w:rPr>
          <w:rFonts w:cs="Arial"/>
        </w:rPr>
        <w:t>. Second, we wanted to</w:t>
      </w:r>
      <w:r w:rsidR="00FB485B">
        <w:rPr>
          <w:rFonts w:cs="Arial"/>
        </w:rPr>
        <w:t xml:space="preserve"> </w:t>
      </w:r>
      <w:proofErr w:type="gramStart"/>
      <w:r w:rsidR="00A43D0E">
        <w:rPr>
          <w:rFonts w:cs="Arial"/>
        </w:rPr>
        <w:t>compare</w:t>
      </w:r>
      <w:r w:rsidR="00FB485B">
        <w:rPr>
          <w:rFonts w:cs="Arial"/>
        </w:rPr>
        <w:t xml:space="preserve"> </w:t>
      </w:r>
      <w:r w:rsidR="00A43D0E">
        <w:rPr>
          <w:rFonts w:cs="Arial"/>
        </w:rPr>
        <w:t>and contrast</w:t>
      </w:r>
      <w:proofErr w:type="gramEnd"/>
      <w:r w:rsidR="00A43D0E">
        <w:rPr>
          <w:rFonts w:cs="Arial"/>
        </w:rPr>
        <w:t xml:space="preserve"> </w:t>
      </w:r>
      <w:r w:rsidR="00FB485B">
        <w:rPr>
          <w:rFonts w:cs="Arial"/>
        </w:rPr>
        <w:t xml:space="preserve">Bayesian and frequentist methods to illuminate </w:t>
      </w:r>
      <w:r w:rsidR="00A43D0E">
        <w:rPr>
          <w:rFonts w:cs="Arial"/>
        </w:rPr>
        <w:t>how well</w:t>
      </w:r>
      <w:r w:rsidR="00FB485B">
        <w:rPr>
          <w:rFonts w:cs="Arial"/>
        </w:rPr>
        <w:t xml:space="preserve"> </w:t>
      </w:r>
      <w:r w:rsidR="00A43D0E">
        <w:rPr>
          <w:rFonts w:cs="Arial"/>
        </w:rPr>
        <w:t xml:space="preserve">they converge when </w:t>
      </w:r>
      <w:r w:rsidR="00FB485B">
        <w:rPr>
          <w:rFonts w:cs="Arial"/>
        </w:rPr>
        <w:t>using flat (or un-informative) priors</w:t>
      </w:r>
      <w:r w:rsidR="00A43D0E">
        <w:rPr>
          <w:rFonts w:cs="Arial"/>
        </w:rPr>
        <w:t xml:space="preserve"> so that</w:t>
      </w:r>
      <w:r w:rsidR="00FB485B">
        <w:rPr>
          <w:rFonts w:cs="Arial"/>
        </w:rPr>
        <w:t xml:space="preserve"> </w:t>
      </w:r>
      <w:r w:rsidR="00974613">
        <w:rPr>
          <w:rFonts w:cs="Arial"/>
        </w:rPr>
        <w:t>Bayesian estimation can closely match results produced by frequentist estimation</w:t>
      </w:r>
      <w:r w:rsidR="00A43D0E">
        <w:rPr>
          <w:rFonts w:cs="Arial"/>
        </w:rPr>
        <w:t>. This convergence, in turn</w:t>
      </w:r>
      <w:proofErr w:type="gramStart"/>
      <w:r w:rsidR="00A43D0E">
        <w:rPr>
          <w:rFonts w:cs="Arial"/>
        </w:rPr>
        <w:t>,</w:t>
      </w:r>
      <w:r w:rsidR="00974613">
        <w:rPr>
          <w:rFonts w:cs="Arial"/>
        </w:rPr>
        <w:t xml:space="preserve"> ,</w:t>
      </w:r>
      <w:proofErr w:type="gramEnd"/>
      <w:r w:rsidR="00974613">
        <w:rPr>
          <w:rFonts w:cs="Arial"/>
        </w:rPr>
        <w:t xml:space="preserve"> affords researchers the opportunity to estimates Bayes Factors</w:t>
      </w:r>
      <w:r w:rsidR="00A43D0E">
        <w:rPr>
          <w:rFonts w:cs="Arial"/>
        </w:rPr>
        <w:t xml:space="preserve"> and bring Bayesian testing to supplement p-value tests</w:t>
      </w:r>
      <w:r w:rsidR="00974613">
        <w:rPr>
          <w:rFonts w:cs="Arial"/>
        </w:rPr>
        <w:t xml:space="preserve">. Third, we sought to highlight the use of Bayes Factors to </w:t>
      </w:r>
      <w:r w:rsidR="004E576D">
        <w:rPr>
          <w:rFonts w:cs="Arial"/>
        </w:rPr>
        <w:t xml:space="preserve">gain </w:t>
      </w:r>
      <w:r w:rsidR="00E518F3">
        <w:rPr>
          <w:rFonts w:cs="Arial"/>
        </w:rPr>
        <w:t xml:space="preserve">a deeper understanding of </w:t>
      </w:r>
      <w:r w:rsidR="00A43D0E">
        <w:rPr>
          <w:rFonts w:cs="Arial"/>
        </w:rPr>
        <w:t xml:space="preserve">p-value test </w:t>
      </w:r>
      <w:r w:rsidR="00E518F3">
        <w:rPr>
          <w:rFonts w:cs="Arial"/>
        </w:rPr>
        <w:t>results</w:t>
      </w:r>
      <w:r w:rsidR="0092739A">
        <w:rPr>
          <w:rFonts w:cs="Arial"/>
        </w:rPr>
        <w:t>, relative to 0/1 decision</w:t>
      </w:r>
      <w:r w:rsidR="00974613">
        <w:rPr>
          <w:rFonts w:cs="Arial"/>
        </w:rPr>
        <w:t>s</w:t>
      </w:r>
      <w:r w:rsidR="0092739A">
        <w:rPr>
          <w:rFonts w:cs="Arial"/>
        </w:rPr>
        <w:t xml:space="preserve"> inherent in NHST from the frequentist perspective. </w:t>
      </w:r>
      <w:r w:rsidR="00974613">
        <w:rPr>
          <w:rFonts w:cs="Arial"/>
        </w:rPr>
        <w:t xml:space="preserve">Finally, we set out to demonstrate that it is </w:t>
      </w:r>
      <w:r w:rsidR="0092739A">
        <w:rPr>
          <w:rFonts w:cs="Arial"/>
        </w:rPr>
        <w:t xml:space="preserve">feasible to estimate Bayes Factors in the context of complex sampling designs </w:t>
      </w:r>
      <w:r w:rsidR="005C56B6">
        <w:rPr>
          <w:rFonts w:cs="Arial"/>
        </w:rPr>
        <w:t>using PROC MCMC. Although our applied data example considered logistic regression, Bayes Factors can be estimated for other statistical models such as linear regression, mixed effect models, and latent variable models</w:t>
      </w:r>
      <w:r>
        <w:rPr>
          <w:rFonts w:cs="Arial"/>
        </w:rPr>
        <w:t>; this is made possible by invoking the GENERAL statement in the MODEL command where it is possible to call the needed functions to correspond to the model at hand.</w:t>
      </w:r>
      <w:r w:rsidR="00475307">
        <w:rPr>
          <w:rFonts w:cs="Arial"/>
        </w:rPr>
        <w:t xml:space="preserve"> </w:t>
      </w:r>
    </w:p>
    <w:p w14:paraId="178179C6" w14:textId="77777777" w:rsidR="0030406D" w:rsidRPr="000B0D18" w:rsidRDefault="0030406D" w:rsidP="000B0D18">
      <w:pPr>
        <w:pStyle w:val="Heading1"/>
      </w:pPr>
      <w:bookmarkStart w:id="3" w:name="_Toc272756046"/>
      <w:r w:rsidRPr="000B0D18">
        <w:t>References</w:t>
      </w:r>
      <w:bookmarkEnd w:id="3"/>
    </w:p>
    <w:p w14:paraId="7CB488BB" w14:textId="77777777" w:rsidR="001C7839" w:rsidRDefault="001C7839" w:rsidP="003825E3">
      <w:pPr>
        <w:pStyle w:val="PaperBody"/>
        <w:numPr>
          <w:ilvl w:val="0"/>
          <w:numId w:val="27"/>
        </w:numPr>
      </w:pPr>
      <w:r w:rsidRPr="001C7839">
        <w:t xml:space="preserve">Burghardt, J., </w:t>
      </w:r>
      <w:proofErr w:type="spellStart"/>
      <w:r w:rsidRPr="001C7839">
        <w:t>Haimson</w:t>
      </w:r>
      <w:proofErr w:type="spellEnd"/>
      <w:r w:rsidRPr="001C7839">
        <w:t>, J., Lipscomb, S.</w:t>
      </w:r>
      <w:r>
        <w:t xml:space="preserve">, </w:t>
      </w:r>
      <w:r w:rsidRPr="001C7839">
        <w:t>Liu, A.Y., Potter, F., Waits, T., &amp; Wang, S. (2017).</w:t>
      </w:r>
      <w:r>
        <w:t xml:space="preserve"> </w:t>
      </w:r>
      <w:r w:rsidRPr="001C7839">
        <w:t>National Longitudinal Transition Study 2012 design documentation (NCEE 2017–4021). Washington, DC: U.S. Department of Education, Institute of Education Sciences, National Center for Education Evaluation and Regional Assistance.</w:t>
      </w:r>
    </w:p>
    <w:p w14:paraId="3963F3F3" w14:textId="23C94DA5" w:rsidR="005F3AA1" w:rsidRPr="003825E3" w:rsidRDefault="005F3AA1" w:rsidP="003825E3">
      <w:pPr>
        <w:pStyle w:val="PaperBody"/>
        <w:numPr>
          <w:ilvl w:val="0"/>
          <w:numId w:val="27"/>
        </w:numPr>
      </w:pPr>
      <w:r w:rsidRPr="003825E3">
        <w:t xml:space="preserve">Lombardi, A. R., Rifenbark, G. G., Hicks, T., Taconet, A., &amp; Challenger, C. (2022). College and Career Readiness Support for Youth </w:t>
      </w:r>
      <w:proofErr w:type="gramStart"/>
      <w:r w:rsidRPr="003825E3">
        <w:t>With</w:t>
      </w:r>
      <w:proofErr w:type="gramEnd"/>
      <w:r w:rsidRPr="003825E3">
        <w:t xml:space="preserve"> and Without Disabilities Based </w:t>
      </w:r>
      <w:r w:rsidRPr="003825E3">
        <w:lastRenderedPageBreak/>
        <w:t xml:space="preserve">on the National Longitudinal Transition Study 2012. </w:t>
      </w:r>
      <w:r w:rsidRPr="003825E3">
        <w:rPr>
          <w:i/>
          <w:iCs/>
        </w:rPr>
        <w:t>Exceptional Children</w:t>
      </w:r>
      <w:r w:rsidRPr="003825E3">
        <w:t>, 00144029221088940.</w:t>
      </w:r>
    </w:p>
    <w:p w14:paraId="6D58804D" w14:textId="02ECF301" w:rsidR="2DCD9A74" w:rsidRPr="003825E3" w:rsidRDefault="2DCD9A74" w:rsidP="003825E3">
      <w:pPr>
        <w:pStyle w:val="ListParagraph"/>
        <w:numPr>
          <w:ilvl w:val="0"/>
          <w:numId w:val="27"/>
        </w:numPr>
        <w:rPr>
          <w:rFonts w:ascii="Verdana" w:hAnsi="Verdana"/>
          <w:sz w:val="20"/>
          <w:szCs w:val="20"/>
        </w:rPr>
      </w:pPr>
      <w:proofErr w:type="spellStart"/>
      <w:r w:rsidRPr="003825E3">
        <w:rPr>
          <w:rFonts w:ascii="Verdana" w:hAnsi="Verdana"/>
          <w:sz w:val="20"/>
          <w:szCs w:val="20"/>
        </w:rPr>
        <w:t>Wagenmakers</w:t>
      </w:r>
      <w:proofErr w:type="spellEnd"/>
      <w:r w:rsidRPr="003825E3">
        <w:rPr>
          <w:rFonts w:ascii="Verdana" w:hAnsi="Verdana"/>
          <w:sz w:val="20"/>
          <w:szCs w:val="20"/>
        </w:rPr>
        <w:t xml:space="preserve">, E. J., </w:t>
      </w:r>
      <w:proofErr w:type="spellStart"/>
      <w:r w:rsidRPr="003825E3">
        <w:rPr>
          <w:rFonts w:ascii="Verdana" w:hAnsi="Verdana"/>
          <w:sz w:val="20"/>
          <w:szCs w:val="20"/>
        </w:rPr>
        <w:t>Marsman</w:t>
      </w:r>
      <w:proofErr w:type="spellEnd"/>
      <w:r w:rsidRPr="003825E3">
        <w:rPr>
          <w:rFonts w:ascii="Verdana" w:hAnsi="Verdana"/>
          <w:sz w:val="20"/>
          <w:szCs w:val="20"/>
        </w:rPr>
        <w:t xml:space="preserve">, M., Jamil, T., Ly, A., </w:t>
      </w:r>
      <w:proofErr w:type="spellStart"/>
      <w:r w:rsidRPr="003825E3">
        <w:rPr>
          <w:rFonts w:ascii="Verdana" w:hAnsi="Verdana"/>
          <w:sz w:val="20"/>
          <w:szCs w:val="20"/>
        </w:rPr>
        <w:t>Verhagen</w:t>
      </w:r>
      <w:proofErr w:type="spellEnd"/>
      <w:r w:rsidRPr="003825E3">
        <w:rPr>
          <w:rFonts w:ascii="Verdana" w:hAnsi="Verdana"/>
          <w:sz w:val="20"/>
          <w:szCs w:val="20"/>
        </w:rPr>
        <w:t xml:space="preserve">, J., Love, J., ... &amp; Morey, R. D. (2018). Bayesian inference for psychology. Part I: Theoretical advantages and practical ramifications. </w:t>
      </w:r>
      <w:r w:rsidRPr="003825E3">
        <w:rPr>
          <w:rFonts w:ascii="Verdana" w:hAnsi="Verdana"/>
          <w:i/>
          <w:iCs/>
          <w:sz w:val="20"/>
          <w:szCs w:val="20"/>
        </w:rPr>
        <w:t>Psychonomic bulletin &amp; review</w:t>
      </w:r>
      <w:r w:rsidRPr="003825E3">
        <w:rPr>
          <w:rFonts w:ascii="Verdana" w:hAnsi="Verdana"/>
          <w:sz w:val="20"/>
          <w:szCs w:val="20"/>
        </w:rPr>
        <w:t xml:space="preserve">, </w:t>
      </w:r>
      <w:r w:rsidRPr="003825E3">
        <w:rPr>
          <w:rFonts w:ascii="Verdana" w:hAnsi="Verdana"/>
          <w:i/>
          <w:iCs/>
          <w:sz w:val="20"/>
          <w:szCs w:val="20"/>
        </w:rPr>
        <w:t>25</w:t>
      </w:r>
      <w:r w:rsidRPr="003825E3">
        <w:rPr>
          <w:rFonts w:ascii="Verdana" w:hAnsi="Verdana"/>
          <w:sz w:val="20"/>
          <w:szCs w:val="20"/>
        </w:rPr>
        <w:t>(1), 35-57.</w:t>
      </w:r>
    </w:p>
    <w:p w14:paraId="3876C3F3" w14:textId="77777777" w:rsidR="0030406D" w:rsidRPr="000B0D18" w:rsidRDefault="0030406D" w:rsidP="000B0D18">
      <w:pPr>
        <w:pStyle w:val="Heading1"/>
      </w:pPr>
      <w:bookmarkStart w:id="4" w:name="_Toc272756047"/>
      <w:r w:rsidRPr="000B0D18">
        <w:t>A</w:t>
      </w:r>
      <w:r w:rsidR="005C2A9F" w:rsidRPr="000B0D18">
        <w:t>cknowledgments</w:t>
      </w:r>
      <w:bookmarkEnd w:id="4"/>
    </w:p>
    <w:p w14:paraId="4B6209C9" w14:textId="3B6D8195" w:rsidR="0067400F" w:rsidRDefault="0067400F" w:rsidP="00D77C73">
      <w:pPr>
        <w:pStyle w:val="PaperBody"/>
      </w:pPr>
      <w:r w:rsidRPr="0030406D">
        <w:t xml:space="preserve">This is the </w:t>
      </w:r>
      <w:r>
        <w:t>text for the acknowledgments</w:t>
      </w:r>
      <w:r w:rsidRPr="0030406D">
        <w:t>.</w:t>
      </w:r>
      <w:r>
        <w:t xml:space="preserve"> </w:t>
      </w:r>
      <w:r w:rsidR="008F0ACD">
        <w:rPr>
          <w:rFonts w:cs="Arial"/>
        </w:rPr>
        <w:t>This paragraph uses the</w:t>
      </w:r>
      <w:r w:rsidR="008F0ACD" w:rsidRPr="0030406D">
        <w:rPr>
          <w:rFonts w:cs="Arial"/>
        </w:rPr>
        <w:t xml:space="preserve"> </w:t>
      </w:r>
      <w:proofErr w:type="spellStart"/>
      <w:r w:rsidR="008F0ACD">
        <w:rPr>
          <w:rFonts w:cs="Arial"/>
        </w:rPr>
        <w:t>PaperB</w:t>
      </w:r>
      <w:r w:rsidR="008F0ACD" w:rsidRPr="0030406D">
        <w:rPr>
          <w:rFonts w:cs="Arial"/>
        </w:rPr>
        <w:t>ody</w:t>
      </w:r>
      <w:proofErr w:type="spellEnd"/>
      <w:r w:rsidR="008F0ACD">
        <w:rPr>
          <w:rFonts w:cs="Arial"/>
        </w:rPr>
        <w:t xml:space="preserve"> style, which use</w:t>
      </w:r>
      <w:r w:rsidR="009A0187">
        <w:rPr>
          <w:rFonts w:cs="Arial"/>
        </w:rPr>
        <w:t>s</w:t>
      </w:r>
      <w:r w:rsidR="008F0ACD">
        <w:rPr>
          <w:rFonts w:cs="Arial"/>
        </w:rPr>
        <w:t xml:space="preserve"> the Verdana font, not the Arial font.</w:t>
      </w:r>
    </w:p>
    <w:p w14:paraId="7E624BF0" w14:textId="21AEF232" w:rsidR="0030406D" w:rsidRPr="000B0D18" w:rsidRDefault="0030406D" w:rsidP="000B0D18">
      <w:pPr>
        <w:pStyle w:val="Heading1"/>
      </w:pPr>
      <w:bookmarkStart w:id="5" w:name="_Toc272756049"/>
      <w:r w:rsidRPr="000B0D18">
        <w:t>Contact Information</w:t>
      </w:r>
      <w:bookmarkEnd w:id="5"/>
    </w:p>
    <w:p w14:paraId="026628B7" w14:textId="77777777" w:rsidR="0030406D" w:rsidRPr="0030406D" w:rsidRDefault="0030406D">
      <w:pPr>
        <w:pStyle w:val="PaperBody"/>
        <w:rPr>
          <w:rFonts w:cs="Arial"/>
        </w:rPr>
      </w:pPr>
      <w:r w:rsidRPr="0030406D">
        <w:rPr>
          <w:rFonts w:cs="Arial"/>
        </w:rPr>
        <w:t>Your comments and questions are valued and encouraged.</w:t>
      </w:r>
      <w:r w:rsidR="00762137">
        <w:rPr>
          <w:rFonts w:cs="Arial"/>
        </w:rPr>
        <w:t xml:space="preserve"> </w:t>
      </w:r>
      <w:r w:rsidRPr="0030406D">
        <w:rPr>
          <w:rFonts w:cs="Arial"/>
        </w:rPr>
        <w:t>Contact the author at:</w:t>
      </w:r>
    </w:p>
    <w:p w14:paraId="2434B66B" w14:textId="1E0F0F76" w:rsidR="0030406D" w:rsidRPr="0030406D" w:rsidRDefault="0030406D" w:rsidP="003825E3">
      <w:pPr>
        <w:pStyle w:val="AddressBlock"/>
        <w:ind w:left="0"/>
        <w:rPr>
          <w:rFonts w:cs="Arial"/>
        </w:rPr>
      </w:pPr>
      <w:r w:rsidRPr="2DCD9A74">
        <w:rPr>
          <w:rFonts w:cs="Arial"/>
        </w:rPr>
        <w:t>Tyler A. Hicks, Ph.D.</w:t>
      </w:r>
    </w:p>
    <w:p w14:paraId="1546FAB9" w14:textId="170FAE88" w:rsidR="0030406D" w:rsidRPr="0030406D" w:rsidRDefault="00840BFB" w:rsidP="003825E3">
      <w:pPr>
        <w:pStyle w:val="AddressBlock"/>
        <w:ind w:left="0"/>
        <w:rPr>
          <w:rFonts w:cs="Arial"/>
        </w:rPr>
      </w:pPr>
      <w:r w:rsidRPr="2DCD9A74">
        <w:rPr>
          <w:rFonts w:cs="Arial"/>
        </w:rPr>
        <w:t>University of Kansas</w:t>
      </w:r>
    </w:p>
    <w:p w14:paraId="1955DAD2" w14:textId="642C4104" w:rsidR="0030406D" w:rsidRPr="0030406D" w:rsidRDefault="001C7839" w:rsidP="003825E3">
      <w:pPr>
        <w:pStyle w:val="AddressBlock"/>
        <w:ind w:left="0"/>
        <w:rPr>
          <w:rFonts w:cs="Arial"/>
        </w:rPr>
      </w:pPr>
      <w:hyperlink r:id="rId13" w:history="1">
        <w:r w:rsidRPr="001C7839">
          <w:rPr>
            <w:rStyle w:val="Hyperlink"/>
            <w:rFonts w:cs="Arial"/>
          </w:rPr>
          <w:t>tahicks@ku.edu</w:t>
        </w:r>
      </w:hyperlink>
      <w:r w:rsidR="00C16742" w:rsidRPr="2DCD9A74">
        <w:rPr>
          <w:rFonts w:cs="Arial"/>
        </w:rPr>
        <w:t xml:space="preserve"> </w:t>
      </w:r>
    </w:p>
    <w:p w14:paraId="7495FE03" w14:textId="77777777" w:rsidR="00895254" w:rsidRPr="0030406D" w:rsidRDefault="00895254">
      <w:pPr>
        <w:pStyle w:val="AddressBlock"/>
        <w:rPr>
          <w:rFonts w:cs="Arial"/>
        </w:rPr>
      </w:pPr>
    </w:p>
    <w:p w14:paraId="4D087BF3" w14:textId="37268951" w:rsidR="002D309A" w:rsidRDefault="002D309A" w:rsidP="003825E3">
      <w:pPr>
        <w:pStyle w:val="AddressBlock"/>
        <w:ind w:left="0"/>
        <w:rPr>
          <w:rFonts w:cs="Arial"/>
        </w:rPr>
      </w:pPr>
      <w:r w:rsidRPr="2DCD9A74">
        <w:rPr>
          <w:rFonts w:cs="Arial"/>
        </w:rPr>
        <w:t>Graham G. Rifenbark, Ph.D.</w:t>
      </w:r>
    </w:p>
    <w:p w14:paraId="153E482A" w14:textId="2FDAB7F5" w:rsidR="002D309A" w:rsidRDefault="00840BFB" w:rsidP="003825E3">
      <w:pPr>
        <w:pStyle w:val="AddressBlock"/>
        <w:ind w:left="0"/>
        <w:rPr>
          <w:rFonts w:cs="Arial"/>
        </w:rPr>
      </w:pPr>
      <w:r w:rsidRPr="2DCD9A74">
        <w:rPr>
          <w:rFonts w:cs="Arial"/>
        </w:rPr>
        <w:t>University of Connecticut</w:t>
      </w:r>
    </w:p>
    <w:p w14:paraId="55F63E07" w14:textId="692A3441" w:rsidR="2DCD9A74" w:rsidRDefault="001C7839" w:rsidP="003825E3">
      <w:pPr>
        <w:pStyle w:val="AddressBlock"/>
        <w:ind w:left="0"/>
        <w:rPr>
          <w:rFonts w:cs="Arial"/>
        </w:rPr>
      </w:pPr>
      <w:hyperlink r:id="rId14" w:history="1">
        <w:r w:rsidRPr="001C7839">
          <w:rPr>
            <w:rStyle w:val="Hyperlink"/>
            <w:rFonts w:cs="Arial"/>
          </w:rPr>
          <w:t>graham.rifenbark@uconn.edu</w:t>
        </w:r>
      </w:hyperlink>
    </w:p>
    <w:p w14:paraId="35C5B8E4" w14:textId="3B543905" w:rsidR="2DCD9A74" w:rsidRDefault="2DCD9A74" w:rsidP="2DCD9A74">
      <w:pPr>
        <w:pStyle w:val="AddressBlock"/>
      </w:pPr>
    </w:p>
    <w:p w14:paraId="5FF5F6CE" w14:textId="6E06E4AF" w:rsidR="2DCD9A74" w:rsidRDefault="2DCD9A74" w:rsidP="2DCD9A74">
      <w:pPr>
        <w:pStyle w:val="AddressBlock"/>
      </w:pPr>
    </w:p>
    <w:p w14:paraId="568BBBA5" w14:textId="77777777" w:rsidR="00F33B32" w:rsidRDefault="005E7B73" w:rsidP="00C57397">
      <w:pPr>
        <w:jc w:val="center"/>
      </w:pPr>
      <w:r>
        <w:br w:type="page"/>
      </w:r>
      <w:bookmarkStart w:id="6" w:name="formattedsamples"/>
      <w:bookmarkEnd w:id="6"/>
      <w:r w:rsidR="00C57397">
        <w:lastRenderedPageBreak/>
        <w:t xml:space="preserve"> </w:t>
      </w:r>
    </w:p>
    <w:sectPr w:rsidR="00F33B32" w:rsidSect="00AB2D57">
      <w:footerReference w:type="default" r:id="rId15"/>
      <w:footerReference w:type="first" r:id="rId16"/>
      <w:endnotePr>
        <w:numFmt w:val="decimal"/>
      </w:endnotePr>
      <w:type w:val="continuous"/>
      <w:pgSz w:w="12240" w:h="15840" w:code="1"/>
      <w:pgMar w:top="1091" w:right="1440" w:bottom="1440" w:left="1440" w:header="519"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0D5FB3" w14:textId="77777777" w:rsidR="004D71CE" w:rsidRDefault="004D71CE">
      <w:r>
        <w:separator/>
      </w:r>
    </w:p>
  </w:endnote>
  <w:endnote w:type="continuationSeparator" w:id="0">
    <w:p w14:paraId="32776CAF" w14:textId="77777777" w:rsidR="004D71CE" w:rsidRDefault="004D71CE">
      <w:r>
        <w:continuationSeparator/>
      </w:r>
    </w:p>
  </w:endnote>
  <w:endnote w:type="continuationNotice" w:id="1">
    <w:p w14:paraId="225E75AB" w14:textId="77777777" w:rsidR="004D71CE" w:rsidRDefault="004D71C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6C86D672-5E5D-4948-88EC-0203A2F53068}"/>
    <w:embedBold r:id="rId2" w:fontKey="{632208E3-1039-4611-AB72-864A8813AF39}"/>
    <w:embedItalic r:id="rId3" w:fontKey="{2E4ECC6A-4337-4219-A956-B1D6EAC18C51}"/>
    <w:embedBoldItalic r:id="rId4" w:fontKey="{4E471AFD-C252-4EC3-9F92-056C8A30612C}"/>
  </w:font>
  <w:font w:name="Verdana">
    <w:panose1 w:val="020B0604030504040204"/>
    <w:charset w:val="00"/>
    <w:family w:val="swiss"/>
    <w:pitch w:val="variable"/>
    <w:sig w:usb0="A00006FF" w:usb1="4000205B" w:usb2="00000010" w:usb3="00000000" w:csb0="0000019F" w:csb1="00000000"/>
    <w:embedRegular r:id="rId5" w:fontKey="{6290EC83-F40D-4696-A3FE-83E816A70EC4}"/>
    <w:embedBold r:id="rId6" w:fontKey="{D897F962-ACAE-4B1A-B45B-122228753F59}"/>
    <w:embedItalic r:id="rId7" w:fontKey="{92CF25C0-67F5-4BED-84ED-4CF1DF9DFF20}"/>
    <w:embedBoldItalic r:id="rId8" w:fontKey="{3BCE3DDD-E14E-4692-BCA1-620B25D69E5E}"/>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9" w:fontKey="{48B5768D-3188-498E-90FB-547FA7A14D60}"/>
  </w:font>
  <w:font w:name="Helvetica">
    <w:panose1 w:val="020B0604020202020204"/>
    <w:charset w:val="00"/>
    <w:family w:val="swiss"/>
    <w:pitch w:val="variable"/>
    <w:sig w:usb0="E0002EFF" w:usb1="C000785B" w:usb2="00000009" w:usb3="00000000" w:csb0="000001FF" w:csb1="00000000"/>
    <w:embedRegular r:id="rId10" w:fontKey="{2E6B462D-0A30-42C9-8CEE-974C4C989B89}"/>
    <w:embedBold r:id="rId11" w:fontKey="{7365B694-43B5-474A-9CD7-0B44D8162478}"/>
  </w:font>
  <w:font w:name="Tahoma">
    <w:panose1 w:val="020B0604030504040204"/>
    <w:charset w:val="00"/>
    <w:family w:val="swiss"/>
    <w:pitch w:val="variable"/>
    <w:sig w:usb0="E1002EFF" w:usb1="C000605B" w:usb2="00000029" w:usb3="00000000" w:csb0="000101FF" w:csb1="00000000"/>
    <w:embedRegular r:id="rId12" w:fontKey="{DC01DD03-A8DB-4851-854B-300A09A3F439}"/>
    <w:embedBold r:id="rId13" w:fontKey="{3D0DB82C-822D-455B-87F2-8E2384A8BD69}"/>
  </w:font>
  <w:font w:name="Book Antiqua">
    <w:panose1 w:val="02040602050305030304"/>
    <w:charset w:val="00"/>
    <w:family w:val="roman"/>
    <w:pitch w:val="variable"/>
    <w:sig w:usb0="00000287" w:usb1="00000000" w:usb2="00000000" w:usb3="00000000" w:csb0="0000009F" w:csb1="00000000"/>
    <w:embedRegular r:id="rId14" w:fontKey="{ED06454C-893E-4AED-A548-805924A8EFE0}"/>
  </w:font>
  <w:font w:name="Cambria">
    <w:panose1 w:val="02040503050406030204"/>
    <w:charset w:val="00"/>
    <w:family w:val="roman"/>
    <w:pitch w:val="variable"/>
    <w:sig w:usb0="E00006FF" w:usb1="420024FF" w:usb2="02000000" w:usb3="00000000" w:csb0="0000019F" w:csb1="00000000"/>
    <w:embedRegular r:id="rId15" w:fontKey="{3FB15031-1AC0-4751-9B96-0818E29F8161}"/>
    <w:embedBold r:id="rId16" w:fontKey="{86296643-479C-499B-B3AC-BFF4F6F809BD}"/>
  </w:font>
  <w:font w:name="MS Gothic">
    <w:altName w:val="ＭＳ ゴシック"/>
    <w:panose1 w:val="020B0609070205080204"/>
    <w:charset w:val="80"/>
    <w:family w:val="modern"/>
    <w:pitch w:val="fixed"/>
    <w:sig w:usb0="E00002FF" w:usb1="6AC7FDFB" w:usb2="08000012" w:usb3="00000000" w:csb0="0002009F" w:csb1="00000000"/>
  </w:font>
  <w:font w:name="Courier Std">
    <w:altName w:val="Courier Std"/>
    <w:panose1 w:val="00000000000000000000"/>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embedRegular r:id="rId17" w:fontKey="{1B909E6E-EDF9-405F-99B8-1553EBFCD2BC}"/>
    <w:embedItalic r:id="rId18" w:fontKey="{1DE0642C-43EF-44C9-969D-EFAF68108848}"/>
    <w:embedBoldItalic r:id="rId19" w:fontKey="{29066D57-3DA3-46CA-878C-736AEB8D1C9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45188A" w14:textId="77777777" w:rsidR="003A1539" w:rsidRPr="002378DD" w:rsidRDefault="003A1539">
    <w:pPr>
      <w:pStyle w:val="Footer"/>
      <w:widowControl/>
      <w:jc w:val="center"/>
      <w:rPr>
        <w:rFonts w:ascii="Verdana" w:hAnsi="Verdana"/>
      </w:rPr>
    </w:pPr>
    <w:r w:rsidRPr="002378DD">
      <w:rPr>
        <w:rStyle w:val="PageNumber"/>
        <w:rFonts w:ascii="Verdana" w:hAnsi="Verdana"/>
      </w:rPr>
      <w:fldChar w:fldCharType="begin"/>
    </w:r>
    <w:r w:rsidRPr="002378DD">
      <w:rPr>
        <w:rStyle w:val="PageNumber"/>
        <w:rFonts w:ascii="Verdana" w:hAnsi="Verdana"/>
      </w:rPr>
      <w:instrText xml:space="preserve">page </w:instrText>
    </w:r>
    <w:r w:rsidRPr="002378DD">
      <w:rPr>
        <w:rStyle w:val="PageNumber"/>
        <w:rFonts w:ascii="Verdana" w:hAnsi="Verdana"/>
      </w:rPr>
      <w:fldChar w:fldCharType="separate"/>
    </w:r>
    <w:r w:rsidR="00D2535E">
      <w:rPr>
        <w:rStyle w:val="PageNumber"/>
        <w:rFonts w:ascii="Verdana" w:hAnsi="Verdana"/>
        <w:noProof/>
      </w:rPr>
      <w:t>7</w:t>
    </w:r>
    <w:r w:rsidRPr="002378DD">
      <w:rPr>
        <w:rStyle w:val="PageNumber"/>
        <w:rFonts w:ascii="Verdana" w:hAnsi="Verdana"/>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5C720" w14:textId="77777777" w:rsidR="003A1539" w:rsidRPr="002378DD" w:rsidRDefault="003A1539">
    <w:pPr>
      <w:pStyle w:val="Footer"/>
      <w:jc w:val="center"/>
      <w:rPr>
        <w:rFonts w:ascii="Verdana" w:hAnsi="Verdana" w:cs="Arial"/>
      </w:rPr>
    </w:pPr>
    <w:r w:rsidRPr="002378DD">
      <w:rPr>
        <w:rFonts w:ascii="Verdana" w:hAnsi="Verdana" w:cs="Arial"/>
        <w:snapToGrid w:val="0"/>
      </w:rPr>
      <w:fldChar w:fldCharType="begin"/>
    </w:r>
    <w:r w:rsidRPr="002378DD">
      <w:rPr>
        <w:rFonts w:ascii="Verdana" w:hAnsi="Verdana" w:cs="Arial"/>
        <w:snapToGrid w:val="0"/>
      </w:rPr>
      <w:instrText xml:space="preserve"> PAGE </w:instrText>
    </w:r>
    <w:r w:rsidRPr="002378DD">
      <w:rPr>
        <w:rFonts w:ascii="Verdana" w:hAnsi="Verdana" w:cs="Arial"/>
        <w:snapToGrid w:val="0"/>
      </w:rPr>
      <w:fldChar w:fldCharType="separate"/>
    </w:r>
    <w:r w:rsidR="00D2535E">
      <w:rPr>
        <w:rFonts w:ascii="Verdana" w:hAnsi="Verdana" w:cs="Arial"/>
        <w:noProof/>
        <w:snapToGrid w:val="0"/>
      </w:rPr>
      <w:t>1</w:t>
    </w:r>
    <w:r w:rsidRPr="002378DD">
      <w:rPr>
        <w:rFonts w:ascii="Verdana" w:hAnsi="Verdana" w:cs="Arial"/>
        <w:snapToGrid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9DC7E5" w14:textId="77777777" w:rsidR="004D71CE" w:rsidRDefault="004D71CE">
      <w:r>
        <w:separator/>
      </w:r>
    </w:p>
  </w:footnote>
  <w:footnote w:type="continuationSeparator" w:id="0">
    <w:p w14:paraId="639DC8B6" w14:textId="77777777" w:rsidR="004D71CE" w:rsidRDefault="004D71CE">
      <w:r>
        <w:continuationSeparator/>
      </w:r>
    </w:p>
  </w:footnote>
  <w:footnote w:type="continuationNotice" w:id="1">
    <w:p w14:paraId="5BCE724F" w14:textId="77777777" w:rsidR="004D71CE" w:rsidRDefault="004D71C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3AC27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1406EF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0A4EAB9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1AA807A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1E4238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890E769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EC0156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920FC7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5154718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006CD3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4A3699"/>
    <w:multiLevelType w:val="hybridMultilevel"/>
    <w:tmpl w:val="9118E5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7B1E25"/>
    <w:multiLevelType w:val="hybridMultilevel"/>
    <w:tmpl w:val="16A8A84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0774BE4"/>
    <w:multiLevelType w:val="hybridMultilevel"/>
    <w:tmpl w:val="4A58A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271EC9"/>
    <w:multiLevelType w:val="hybridMultilevel"/>
    <w:tmpl w:val="A7D4D880"/>
    <w:lvl w:ilvl="0" w:tplc="346216D8">
      <w:start w:val="1"/>
      <w:numFmt w:val="bullet"/>
      <w:pStyle w:val="Bulle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0A512E"/>
    <w:multiLevelType w:val="hybridMultilevel"/>
    <w:tmpl w:val="3622F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2212D9"/>
    <w:multiLevelType w:val="hybridMultilevel"/>
    <w:tmpl w:val="664CCB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872A6B"/>
    <w:multiLevelType w:val="hybridMultilevel"/>
    <w:tmpl w:val="E9D8CA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0504FFE"/>
    <w:multiLevelType w:val="hybridMultilevel"/>
    <w:tmpl w:val="13CCB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8C0BB6"/>
    <w:multiLevelType w:val="hybridMultilevel"/>
    <w:tmpl w:val="895AE6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67E4BA5"/>
    <w:multiLevelType w:val="hybridMultilevel"/>
    <w:tmpl w:val="97CE1E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17C776F"/>
    <w:multiLevelType w:val="hybridMultilevel"/>
    <w:tmpl w:val="45BA4298"/>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21" w15:restartNumberingAfterBreak="0">
    <w:nsid w:val="5B9366B9"/>
    <w:multiLevelType w:val="hybridMultilevel"/>
    <w:tmpl w:val="4928FB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2BB7086"/>
    <w:multiLevelType w:val="hybridMultilevel"/>
    <w:tmpl w:val="0554BE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3382A1A"/>
    <w:multiLevelType w:val="hybridMultilevel"/>
    <w:tmpl w:val="AEE2B7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BA541B3"/>
    <w:multiLevelType w:val="hybridMultilevel"/>
    <w:tmpl w:val="55400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34491391">
    <w:abstractNumId w:val="9"/>
  </w:num>
  <w:num w:numId="2" w16cid:durableId="1985041145">
    <w:abstractNumId w:val="7"/>
  </w:num>
  <w:num w:numId="3" w16cid:durableId="1631206957">
    <w:abstractNumId w:val="6"/>
  </w:num>
  <w:num w:numId="4" w16cid:durableId="72555375">
    <w:abstractNumId w:val="5"/>
  </w:num>
  <w:num w:numId="5" w16cid:durableId="689067634">
    <w:abstractNumId w:val="4"/>
  </w:num>
  <w:num w:numId="6" w16cid:durableId="206379718">
    <w:abstractNumId w:val="8"/>
  </w:num>
  <w:num w:numId="7" w16cid:durableId="1052509553">
    <w:abstractNumId w:val="3"/>
  </w:num>
  <w:num w:numId="8" w16cid:durableId="517305994">
    <w:abstractNumId w:val="13"/>
  </w:num>
  <w:num w:numId="9" w16cid:durableId="536043399">
    <w:abstractNumId w:val="20"/>
  </w:num>
  <w:num w:numId="10" w16cid:durableId="1627924557">
    <w:abstractNumId w:val="2"/>
  </w:num>
  <w:num w:numId="11" w16cid:durableId="589630944">
    <w:abstractNumId w:val="1"/>
  </w:num>
  <w:num w:numId="12" w16cid:durableId="723061408">
    <w:abstractNumId w:val="0"/>
  </w:num>
  <w:num w:numId="13" w16cid:durableId="1060834237">
    <w:abstractNumId w:val="8"/>
  </w:num>
  <w:num w:numId="14" w16cid:durableId="385952768">
    <w:abstractNumId w:val="8"/>
    <w:lvlOverride w:ilvl="0">
      <w:startOverride w:val="1"/>
    </w:lvlOverride>
  </w:num>
  <w:num w:numId="15" w16cid:durableId="1718234463">
    <w:abstractNumId w:val="10"/>
  </w:num>
  <w:num w:numId="16" w16cid:durableId="450973107">
    <w:abstractNumId w:val="18"/>
  </w:num>
  <w:num w:numId="17" w16cid:durableId="1615359419">
    <w:abstractNumId w:val="11"/>
  </w:num>
  <w:num w:numId="18" w16cid:durableId="1978879764">
    <w:abstractNumId w:val="16"/>
  </w:num>
  <w:num w:numId="19" w16cid:durableId="966543629">
    <w:abstractNumId w:val="22"/>
  </w:num>
  <w:num w:numId="20" w16cid:durableId="877936602">
    <w:abstractNumId w:val="23"/>
  </w:num>
  <w:num w:numId="21" w16cid:durableId="887839415">
    <w:abstractNumId w:val="21"/>
  </w:num>
  <w:num w:numId="22" w16cid:durableId="1158307658">
    <w:abstractNumId w:val="12"/>
  </w:num>
  <w:num w:numId="23" w16cid:durableId="452098269">
    <w:abstractNumId w:val="14"/>
  </w:num>
  <w:num w:numId="24" w16cid:durableId="1104231231">
    <w:abstractNumId w:val="15"/>
  </w:num>
  <w:num w:numId="25" w16cid:durableId="1686324335">
    <w:abstractNumId w:val="17"/>
  </w:num>
  <w:num w:numId="26" w16cid:durableId="461073402">
    <w:abstractNumId w:val="24"/>
  </w:num>
  <w:num w:numId="27" w16cid:durableId="178831313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1155"/>
    <w:rsid w:val="000071A9"/>
    <w:rsid w:val="00012C8D"/>
    <w:rsid w:val="00017E47"/>
    <w:rsid w:val="00020E74"/>
    <w:rsid w:val="000218DA"/>
    <w:rsid w:val="00022231"/>
    <w:rsid w:val="00022399"/>
    <w:rsid w:val="000315CD"/>
    <w:rsid w:val="00031A7C"/>
    <w:rsid w:val="00033E45"/>
    <w:rsid w:val="000344D6"/>
    <w:rsid w:val="0003569D"/>
    <w:rsid w:val="00035EB2"/>
    <w:rsid w:val="000509AE"/>
    <w:rsid w:val="000552A3"/>
    <w:rsid w:val="00060DD9"/>
    <w:rsid w:val="000631F0"/>
    <w:rsid w:val="0006706C"/>
    <w:rsid w:val="00070661"/>
    <w:rsid w:val="00072E20"/>
    <w:rsid w:val="00076C8B"/>
    <w:rsid w:val="0008520A"/>
    <w:rsid w:val="00086226"/>
    <w:rsid w:val="000878A7"/>
    <w:rsid w:val="00090D2B"/>
    <w:rsid w:val="00096857"/>
    <w:rsid w:val="00097B8E"/>
    <w:rsid w:val="000A07DD"/>
    <w:rsid w:val="000A39C5"/>
    <w:rsid w:val="000B0D18"/>
    <w:rsid w:val="000B3956"/>
    <w:rsid w:val="000B4D24"/>
    <w:rsid w:val="000B645A"/>
    <w:rsid w:val="000B7A67"/>
    <w:rsid w:val="000C0E54"/>
    <w:rsid w:val="000C1842"/>
    <w:rsid w:val="000C28D9"/>
    <w:rsid w:val="000C3271"/>
    <w:rsid w:val="000C45FF"/>
    <w:rsid w:val="000D2520"/>
    <w:rsid w:val="000D509D"/>
    <w:rsid w:val="000D65D4"/>
    <w:rsid w:val="000E1529"/>
    <w:rsid w:val="000E411A"/>
    <w:rsid w:val="000E6BCE"/>
    <w:rsid w:val="000F1E50"/>
    <w:rsid w:val="000F5452"/>
    <w:rsid w:val="000F641E"/>
    <w:rsid w:val="00102037"/>
    <w:rsid w:val="00103796"/>
    <w:rsid w:val="0010452F"/>
    <w:rsid w:val="00105FB4"/>
    <w:rsid w:val="00111ACA"/>
    <w:rsid w:val="00113314"/>
    <w:rsid w:val="00113FFD"/>
    <w:rsid w:val="0011726D"/>
    <w:rsid w:val="001204E4"/>
    <w:rsid w:val="001211CD"/>
    <w:rsid w:val="00124E40"/>
    <w:rsid w:val="001274E2"/>
    <w:rsid w:val="001318FF"/>
    <w:rsid w:val="00134360"/>
    <w:rsid w:val="001367A5"/>
    <w:rsid w:val="00137408"/>
    <w:rsid w:val="00137C68"/>
    <w:rsid w:val="0013BD4F"/>
    <w:rsid w:val="001442DA"/>
    <w:rsid w:val="00147673"/>
    <w:rsid w:val="00152D53"/>
    <w:rsid w:val="001543A6"/>
    <w:rsid w:val="001611C8"/>
    <w:rsid w:val="00161625"/>
    <w:rsid w:val="00161B73"/>
    <w:rsid w:val="00162B78"/>
    <w:rsid w:val="00165279"/>
    <w:rsid w:val="00170046"/>
    <w:rsid w:val="00170953"/>
    <w:rsid w:val="001804A2"/>
    <w:rsid w:val="001805E2"/>
    <w:rsid w:val="001875D4"/>
    <w:rsid w:val="00192CCC"/>
    <w:rsid w:val="00193199"/>
    <w:rsid w:val="001936C6"/>
    <w:rsid w:val="00196545"/>
    <w:rsid w:val="001A0899"/>
    <w:rsid w:val="001A1C7E"/>
    <w:rsid w:val="001A2693"/>
    <w:rsid w:val="001A2988"/>
    <w:rsid w:val="001A70DC"/>
    <w:rsid w:val="001C2221"/>
    <w:rsid w:val="001C5EC6"/>
    <w:rsid w:val="001C61DE"/>
    <w:rsid w:val="001C7839"/>
    <w:rsid w:val="001D14DE"/>
    <w:rsid w:val="001D2A9A"/>
    <w:rsid w:val="001D7C35"/>
    <w:rsid w:val="001E28B9"/>
    <w:rsid w:val="001E3B81"/>
    <w:rsid w:val="001E4D2A"/>
    <w:rsid w:val="001E7EFE"/>
    <w:rsid w:val="001F4F5A"/>
    <w:rsid w:val="001F5B10"/>
    <w:rsid w:val="00202EFC"/>
    <w:rsid w:val="002053FF"/>
    <w:rsid w:val="00205ED9"/>
    <w:rsid w:val="00212D05"/>
    <w:rsid w:val="00217584"/>
    <w:rsid w:val="00222B11"/>
    <w:rsid w:val="00224857"/>
    <w:rsid w:val="002252C1"/>
    <w:rsid w:val="00226606"/>
    <w:rsid w:val="0023114D"/>
    <w:rsid w:val="00232E92"/>
    <w:rsid w:val="002337F0"/>
    <w:rsid w:val="002378DD"/>
    <w:rsid w:val="00243138"/>
    <w:rsid w:val="00244DE0"/>
    <w:rsid w:val="00245848"/>
    <w:rsid w:val="00247E28"/>
    <w:rsid w:val="002503C1"/>
    <w:rsid w:val="00255AF8"/>
    <w:rsid w:val="00260442"/>
    <w:rsid w:val="002616F3"/>
    <w:rsid w:val="00261A1E"/>
    <w:rsid w:val="00264C45"/>
    <w:rsid w:val="00265945"/>
    <w:rsid w:val="002679A7"/>
    <w:rsid w:val="002702EE"/>
    <w:rsid w:val="00272684"/>
    <w:rsid w:val="00277263"/>
    <w:rsid w:val="00280291"/>
    <w:rsid w:val="00283258"/>
    <w:rsid w:val="00283D87"/>
    <w:rsid w:val="002870B4"/>
    <w:rsid w:val="00287D7D"/>
    <w:rsid w:val="002923BB"/>
    <w:rsid w:val="0029421B"/>
    <w:rsid w:val="002A02A4"/>
    <w:rsid w:val="002A23D0"/>
    <w:rsid w:val="002A627F"/>
    <w:rsid w:val="002A7239"/>
    <w:rsid w:val="002B3295"/>
    <w:rsid w:val="002B62AE"/>
    <w:rsid w:val="002C06A9"/>
    <w:rsid w:val="002C12EC"/>
    <w:rsid w:val="002C1A4B"/>
    <w:rsid w:val="002C3C3A"/>
    <w:rsid w:val="002C4067"/>
    <w:rsid w:val="002C6069"/>
    <w:rsid w:val="002D309A"/>
    <w:rsid w:val="002E368C"/>
    <w:rsid w:val="002E3A7A"/>
    <w:rsid w:val="002E4DA5"/>
    <w:rsid w:val="002E6187"/>
    <w:rsid w:val="002E6364"/>
    <w:rsid w:val="002F11DB"/>
    <w:rsid w:val="002F56A8"/>
    <w:rsid w:val="002F6790"/>
    <w:rsid w:val="00304037"/>
    <w:rsid w:val="0030406D"/>
    <w:rsid w:val="00304983"/>
    <w:rsid w:val="0031167A"/>
    <w:rsid w:val="003144E4"/>
    <w:rsid w:val="00315C10"/>
    <w:rsid w:val="00316BBA"/>
    <w:rsid w:val="0031774A"/>
    <w:rsid w:val="00321F25"/>
    <w:rsid w:val="003220EC"/>
    <w:rsid w:val="003227C7"/>
    <w:rsid w:val="00327769"/>
    <w:rsid w:val="00334DFB"/>
    <w:rsid w:val="00342741"/>
    <w:rsid w:val="0034592D"/>
    <w:rsid w:val="00351155"/>
    <w:rsid w:val="00351169"/>
    <w:rsid w:val="00357BA7"/>
    <w:rsid w:val="0035D8EE"/>
    <w:rsid w:val="0036008A"/>
    <w:rsid w:val="0036099C"/>
    <w:rsid w:val="003628FA"/>
    <w:rsid w:val="00364DC5"/>
    <w:rsid w:val="00365640"/>
    <w:rsid w:val="003671F1"/>
    <w:rsid w:val="003709E0"/>
    <w:rsid w:val="00380F58"/>
    <w:rsid w:val="003825E3"/>
    <w:rsid w:val="00383C5B"/>
    <w:rsid w:val="00385E9B"/>
    <w:rsid w:val="00390779"/>
    <w:rsid w:val="00390BD0"/>
    <w:rsid w:val="00391743"/>
    <w:rsid w:val="003932AC"/>
    <w:rsid w:val="003935A7"/>
    <w:rsid w:val="003954F5"/>
    <w:rsid w:val="00395C0F"/>
    <w:rsid w:val="0039757C"/>
    <w:rsid w:val="003A1539"/>
    <w:rsid w:val="003A3A10"/>
    <w:rsid w:val="003A3AC3"/>
    <w:rsid w:val="003A3CB7"/>
    <w:rsid w:val="003B2A01"/>
    <w:rsid w:val="003B6CF8"/>
    <w:rsid w:val="003C1E1A"/>
    <w:rsid w:val="003C2570"/>
    <w:rsid w:val="003D0EC3"/>
    <w:rsid w:val="003D2AD5"/>
    <w:rsid w:val="003D3A5B"/>
    <w:rsid w:val="003D3CEA"/>
    <w:rsid w:val="003E4070"/>
    <w:rsid w:val="003F2609"/>
    <w:rsid w:val="003F4EF3"/>
    <w:rsid w:val="003F691F"/>
    <w:rsid w:val="003F6F04"/>
    <w:rsid w:val="003F6FA1"/>
    <w:rsid w:val="004011DE"/>
    <w:rsid w:val="004044C8"/>
    <w:rsid w:val="00405344"/>
    <w:rsid w:val="004062DF"/>
    <w:rsid w:val="00406DA6"/>
    <w:rsid w:val="00406E7F"/>
    <w:rsid w:val="00413E5B"/>
    <w:rsid w:val="00414889"/>
    <w:rsid w:val="004159E7"/>
    <w:rsid w:val="00417074"/>
    <w:rsid w:val="00417FBF"/>
    <w:rsid w:val="004275AE"/>
    <w:rsid w:val="00432E20"/>
    <w:rsid w:val="004378B9"/>
    <w:rsid w:val="004412DE"/>
    <w:rsid w:val="00441B50"/>
    <w:rsid w:val="0044378C"/>
    <w:rsid w:val="00445AE2"/>
    <w:rsid w:val="004549FC"/>
    <w:rsid w:val="00462088"/>
    <w:rsid w:val="00463065"/>
    <w:rsid w:val="00463417"/>
    <w:rsid w:val="00463BA3"/>
    <w:rsid w:val="00475307"/>
    <w:rsid w:val="00481F6F"/>
    <w:rsid w:val="004826F7"/>
    <w:rsid w:val="00485CFB"/>
    <w:rsid w:val="004860D4"/>
    <w:rsid w:val="00486AEA"/>
    <w:rsid w:val="00487DD2"/>
    <w:rsid w:val="00494CE8"/>
    <w:rsid w:val="00497501"/>
    <w:rsid w:val="004A1476"/>
    <w:rsid w:val="004A198F"/>
    <w:rsid w:val="004A3044"/>
    <w:rsid w:val="004B0235"/>
    <w:rsid w:val="004B76F7"/>
    <w:rsid w:val="004C3247"/>
    <w:rsid w:val="004C671A"/>
    <w:rsid w:val="004D21ED"/>
    <w:rsid w:val="004D71CE"/>
    <w:rsid w:val="004E0ABE"/>
    <w:rsid w:val="004E0EF7"/>
    <w:rsid w:val="004E3E32"/>
    <w:rsid w:val="004E404B"/>
    <w:rsid w:val="004E576D"/>
    <w:rsid w:val="004E6674"/>
    <w:rsid w:val="004F63E6"/>
    <w:rsid w:val="0050232C"/>
    <w:rsid w:val="0050544B"/>
    <w:rsid w:val="005061A4"/>
    <w:rsid w:val="005078F5"/>
    <w:rsid w:val="00513B8E"/>
    <w:rsid w:val="0052333C"/>
    <w:rsid w:val="00523D3D"/>
    <w:rsid w:val="00525B60"/>
    <w:rsid w:val="00525EA7"/>
    <w:rsid w:val="00526D84"/>
    <w:rsid w:val="0053612C"/>
    <w:rsid w:val="00544E30"/>
    <w:rsid w:val="0054511D"/>
    <w:rsid w:val="0054529F"/>
    <w:rsid w:val="005456A6"/>
    <w:rsid w:val="00546C52"/>
    <w:rsid w:val="00550C43"/>
    <w:rsid w:val="005536B2"/>
    <w:rsid w:val="005638C4"/>
    <w:rsid w:val="00564099"/>
    <w:rsid w:val="00566D3C"/>
    <w:rsid w:val="00573012"/>
    <w:rsid w:val="005737E1"/>
    <w:rsid w:val="00574587"/>
    <w:rsid w:val="00574C89"/>
    <w:rsid w:val="00576317"/>
    <w:rsid w:val="0057746C"/>
    <w:rsid w:val="00577F01"/>
    <w:rsid w:val="005818C7"/>
    <w:rsid w:val="00583F4C"/>
    <w:rsid w:val="00587E74"/>
    <w:rsid w:val="00591E3B"/>
    <w:rsid w:val="00592DB3"/>
    <w:rsid w:val="005961FB"/>
    <w:rsid w:val="00596C9A"/>
    <w:rsid w:val="005A0F3A"/>
    <w:rsid w:val="005A36BF"/>
    <w:rsid w:val="005A3E7F"/>
    <w:rsid w:val="005A5D2E"/>
    <w:rsid w:val="005A7CF1"/>
    <w:rsid w:val="005B174F"/>
    <w:rsid w:val="005B3264"/>
    <w:rsid w:val="005C08F8"/>
    <w:rsid w:val="005C2A9F"/>
    <w:rsid w:val="005C31D1"/>
    <w:rsid w:val="005C412E"/>
    <w:rsid w:val="005C56B6"/>
    <w:rsid w:val="005C695D"/>
    <w:rsid w:val="005D17E3"/>
    <w:rsid w:val="005E2A41"/>
    <w:rsid w:val="005E610E"/>
    <w:rsid w:val="005E7B73"/>
    <w:rsid w:val="005E7F95"/>
    <w:rsid w:val="005F3235"/>
    <w:rsid w:val="005F3AA1"/>
    <w:rsid w:val="005F5303"/>
    <w:rsid w:val="00601B93"/>
    <w:rsid w:val="006020CF"/>
    <w:rsid w:val="00603763"/>
    <w:rsid w:val="00613D44"/>
    <w:rsid w:val="00617C96"/>
    <w:rsid w:val="0062286D"/>
    <w:rsid w:val="0062404B"/>
    <w:rsid w:val="006248C2"/>
    <w:rsid w:val="00624EDE"/>
    <w:rsid w:val="00626B1E"/>
    <w:rsid w:val="00627845"/>
    <w:rsid w:val="00631DE9"/>
    <w:rsid w:val="00647793"/>
    <w:rsid w:val="00647C13"/>
    <w:rsid w:val="00650E5F"/>
    <w:rsid w:val="006513CC"/>
    <w:rsid w:val="00652389"/>
    <w:rsid w:val="00653434"/>
    <w:rsid w:val="00655AF9"/>
    <w:rsid w:val="006577ED"/>
    <w:rsid w:val="00660AE3"/>
    <w:rsid w:val="00660C3B"/>
    <w:rsid w:val="0067005A"/>
    <w:rsid w:val="00670F43"/>
    <w:rsid w:val="0067400F"/>
    <w:rsid w:val="006754B5"/>
    <w:rsid w:val="00682B6E"/>
    <w:rsid w:val="00682FEA"/>
    <w:rsid w:val="00683B6D"/>
    <w:rsid w:val="00695B6C"/>
    <w:rsid w:val="0069658F"/>
    <w:rsid w:val="00696BB4"/>
    <w:rsid w:val="006A03BD"/>
    <w:rsid w:val="006A4D30"/>
    <w:rsid w:val="006A5858"/>
    <w:rsid w:val="006A76EB"/>
    <w:rsid w:val="006B1225"/>
    <w:rsid w:val="006B1664"/>
    <w:rsid w:val="006B4872"/>
    <w:rsid w:val="006B765F"/>
    <w:rsid w:val="006B7F12"/>
    <w:rsid w:val="006D00A6"/>
    <w:rsid w:val="006D0F27"/>
    <w:rsid w:val="006D3694"/>
    <w:rsid w:val="006D7E25"/>
    <w:rsid w:val="006F32D9"/>
    <w:rsid w:val="006F44C3"/>
    <w:rsid w:val="006F5287"/>
    <w:rsid w:val="006F5846"/>
    <w:rsid w:val="006F67FD"/>
    <w:rsid w:val="00700599"/>
    <w:rsid w:val="007030DF"/>
    <w:rsid w:val="00703614"/>
    <w:rsid w:val="007131C3"/>
    <w:rsid w:val="0073015E"/>
    <w:rsid w:val="00741D18"/>
    <w:rsid w:val="00743CC5"/>
    <w:rsid w:val="00744D72"/>
    <w:rsid w:val="00753EE0"/>
    <w:rsid w:val="00754108"/>
    <w:rsid w:val="00757A6E"/>
    <w:rsid w:val="00762137"/>
    <w:rsid w:val="00762DA9"/>
    <w:rsid w:val="007805E4"/>
    <w:rsid w:val="00782DDB"/>
    <w:rsid w:val="007850E8"/>
    <w:rsid w:val="007926EA"/>
    <w:rsid w:val="00793C5D"/>
    <w:rsid w:val="007A2ACE"/>
    <w:rsid w:val="007A43C1"/>
    <w:rsid w:val="007A69A0"/>
    <w:rsid w:val="007B13E6"/>
    <w:rsid w:val="007B491F"/>
    <w:rsid w:val="007B4C04"/>
    <w:rsid w:val="007B6BB5"/>
    <w:rsid w:val="007B6CCE"/>
    <w:rsid w:val="007B7010"/>
    <w:rsid w:val="007C0B87"/>
    <w:rsid w:val="007C2F8E"/>
    <w:rsid w:val="007C7925"/>
    <w:rsid w:val="007D4191"/>
    <w:rsid w:val="007E1D47"/>
    <w:rsid w:val="007E21B3"/>
    <w:rsid w:val="007E2E49"/>
    <w:rsid w:val="007F115E"/>
    <w:rsid w:val="007F1854"/>
    <w:rsid w:val="007F38C6"/>
    <w:rsid w:val="007F4B5A"/>
    <w:rsid w:val="00801EFF"/>
    <w:rsid w:val="00803E1D"/>
    <w:rsid w:val="00812683"/>
    <w:rsid w:val="008136AE"/>
    <w:rsid w:val="00823F5B"/>
    <w:rsid w:val="00824E33"/>
    <w:rsid w:val="0082683A"/>
    <w:rsid w:val="00826CEE"/>
    <w:rsid w:val="00836F5F"/>
    <w:rsid w:val="00840BFB"/>
    <w:rsid w:val="00840C83"/>
    <w:rsid w:val="00844B4C"/>
    <w:rsid w:val="00854BD8"/>
    <w:rsid w:val="00855AC2"/>
    <w:rsid w:val="00860F5F"/>
    <w:rsid w:val="00860F74"/>
    <w:rsid w:val="008613B4"/>
    <w:rsid w:val="00875839"/>
    <w:rsid w:val="0088218A"/>
    <w:rsid w:val="00886115"/>
    <w:rsid w:val="008863FC"/>
    <w:rsid w:val="008903C6"/>
    <w:rsid w:val="008906B9"/>
    <w:rsid w:val="0089130A"/>
    <w:rsid w:val="008913AC"/>
    <w:rsid w:val="008946DD"/>
    <w:rsid w:val="00895254"/>
    <w:rsid w:val="00895A6B"/>
    <w:rsid w:val="00897ED9"/>
    <w:rsid w:val="008A132D"/>
    <w:rsid w:val="008A15B7"/>
    <w:rsid w:val="008A15E3"/>
    <w:rsid w:val="008A464E"/>
    <w:rsid w:val="008A725B"/>
    <w:rsid w:val="008B2EF4"/>
    <w:rsid w:val="008B3338"/>
    <w:rsid w:val="008B4C07"/>
    <w:rsid w:val="008C0859"/>
    <w:rsid w:val="008C1B32"/>
    <w:rsid w:val="008C1DB9"/>
    <w:rsid w:val="008D0EFE"/>
    <w:rsid w:val="008D22B8"/>
    <w:rsid w:val="008D38FD"/>
    <w:rsid w:val="008D4B34"/>
    <w:rsid w:val="008D6AD3"/>
    <w:rsid w:val="008D6EFC"/>
    <w:rsid w:val="008E253A"/>
    <w:rsid w:val="008E2A87"/>
    <w:rsid w:val="008F0ACD"/>
    <w:rsid w:val="008F3FD4"/>
    <w:rsid w:val="00903E8D"/>
    <w:rsid w:val="009071A3"/>
    <w:rsid w:val="00913154"/>
    <w:rsid w:val="00913D91"/>
    <w:rsid w:val="00917074"/>
    <w:rsid w:val="00921BB9"/>
    <w:rsid w:val="009266D4"/>
    <w:rsid w:val="0092739A"/>
    <w:rsid w:val="00931670"/>
    <w:rsid w:val="00933BB7"/>
    <w:rsid w:val="00937937"/>
    <w:rsid w:val="00940957"/>
    <w:rsid w:val="00940A70"/>
    <w:rsid w:val="00942DC0"/>
    <w:rsid w:val="00944B91"/>
    <w:rsid w:val="009529EA"/>
    <w:rsid w:val="0095765C"/>
    <w:rsid w:val="00957B3C"/>
    <w:rsid w:val="00960366"/>
    <w:rsid w:val="00960E03"/>
    <w:rsid w:val="00963130"/>
    <w:rsid w:val="00964D95"/>
    <w:rsid w:val="009652D4"/>
    <w:rsid w:val="00967923"/>
    <w:rsid w:val="009711DF"/>
    <w:rsid w:val="009719E3"/>
    <w:rsid w:val="00972AC7"/>
    <w:rsid w:val="00974192"/>
    <w:rsid w:val="00974613"/>
    <w:rsid w:val="00975154"/>
    <w:rsid w:val="00976AAE"/>
    <w:rsid w:val="00983029"/>
    <w:rsid w:val="00983362"/>
    <w:rsid w:val="009836E1"/>
    <w:rsid w:val="00986BC7"/>
    <w:rsid w:val="00986CD0"/>
    <w:rsid w:val="00987B45"/>
    <w:rsid w:val="009A0187"/>
    <w:rsid w:val="009A7C34"/>
    <w:rsid w:val="009B30C7"/>
    <w:rsid w:val="009B4F9B"/>
    <w:rsid w:val="009C2B01"/>
    <w:rsid w:val="009C3378"/>
    <w:rsid w:val="009C6DE0"/>
    <w:rsid w:val="009D2A78"/>
    <w:rsid w:val="009D422C"/>
    <w:rsid w:val="009E49C4"/>
    <w:rsid w:val="009E7F57"/>
    <w:rsid w:val="009F032D"/>
    <w:rsid w:val="009F0F97"/>
    <w:rsid w:val="009F20B8"/>
    <w:rsid w:val="009F237D"/>
    <w:rsid w:val="009F5AC8"/>
    <w:rsid w:val="00A0156B"/>
    <w:rsid w:val="00A01AE7"/>
    <w:rsid w:val="00A01F92"/>
    <w:rsid w:val="00A03F21"/>
    <w:rsid w:val="00A06277"/>
    <w:rsid w:val="00A07AA8"/>
    <w:rsid w:val="00A11FF6"/>
    <w:rsid w:val="00A126A2"/>
    <w:rsid w:val="00A12CC9"/>
    <w:rsid w:val="00A214CD"/>
    <w:rsid w:val="00A24434"/>
    <w:rsid w:val="00A27D11"/>
    <w:rsid w:val="00A34C3E"/>
    <w:rsid w:val="00A40747"/>
    <w:rsid w:val="00A42CD7"/>
    <w:rsid w:val="00A43D0E"/>
    <w:rsid w:val="00A449E1"/>
    <w:rsid w:val="00A47E09"/>
    <w:rsid w:val="00A50A7E"/>
    <w:rsid w:val="00A5376F"/>
    <w:rsid w:val="00A56FA7"/>
    <w:rsid w:val="00A57E73"/>
    <w:rsid w:val="00A6642F"/>
    <w:rsid w:val="00A707A6"/>
    <w:rsid w:val="00A731AC"/>
    <w:rsid w:val="00A73338"/>
    <w:rsid w:val="00A76345"/>
    <w:rsid w:val="00A836FA"/>
    <w:rsid w:val="00A93501"/>
    <w:rsid w:val="00A94AF2"/>
    <w:rsid w:val="00A95038"/>
    <w:rsid w:val="00A95BF9"/>
    <w:rsid w:val="00AA308D"/>
    <w:rsid w:val="00AA431A"/>
    <w:rsid w:val="00AA4584"/>
    <w:rsid w:val="00AA58A4"/>
    <w:rsid w:val="00AB0011"/>
    <w:rsid w:val="00AB2D57"/>
    <w:rsid w:val="00AB4B30"/>
    <w:rsid w:val="00AC5B59"/>
    <w:rsid w:val="00AC5FC0"/>
    <w:rsid w:val="00AD2C87"/>
    <w:rsid w:val="00AD2D3A"/>
    <w:rsid w:val="00AD3886"/>
    <w:rsid w:val="00AD4AAB"/>
    <w:rsid w:val="00AD776B"/>
    <w:rsid w:val="00AD7EAD"/>
    <w:rsid w:val="00AF4FFA"/>
    <w:rsid w:val="00AF7EB4"/>
    <w:rsid w:val="00B0189C"/>
    <w:rsid w:val="00B02C7A"/>
    <w:rsid w:val="00B10C73"/>
    <w:rsid w:val="00B137C3"/>
    <w:rsid w:val="00B16F23"/>
    <w:rsid w:val="00B214F8"/>
    <w:rsid w:val="00B21EBB"/>
    <w:rsid w:val="00B22117"/>
    <w:rsid w:val="00B22481"/>
    <w:rsid w:val="00B2456A"/>
    <w:rsid w:val="00B256F2"/>
    <w:rsid w:val="00B25F52"/>
    <w:rsid w:val="00B26921"/>
    <w:rsid w:val="00B27FA9"/>
    <w:rsid w:val="00B3031C"/>
    <w:rsid w:val="00B34026"/>
    <w:rsid w:val="00B35321"/>
    <w:rsid w:val="00B4287D"/>
    <w:rsid w:val="00B42962"/>
    <w:rsid w:val="00B43BB0"/>
    <w:rsid w:val="00B4478D"/>
    <w:rsid w:val="00B464FC"/>
    <w:rsid w:val="00B46E60"/>
    <w:rsid w:val="00B47219"/>
    <w:rsid w:val="00B47B17"/>
    <w:rsid w:val="00B5132E"/>
    <w:rsid w:val="00B52C64"/>
    <w:rsid w:val="00B52F9B"/>
    <w:rsid w:val="00B530E3"/>
    <w:rsid w:val="00B56274"/>
    <w:rsid w:val="00B71610"/>
    <w:rsid w:val="00B81C16"/>
    <w:rsid w:val="00B823A2"/>
    <w:rsid w:val="00B85542"/>
    <w:rsid w:val="00B85C69"/>
    <w:rsid w:val="00BA47E1"/>
    <w:rsid w:val="00BA5522"/>
    <w:rsid w:val="00BA71FD"/>
    <w:rsid w:val="00BB211E"/>
    <w:rsid w:val="00BC3556"/>
    <w:rsid w:val="00BC5B54"/>
    <w:rsid w:val="00BD4E90"/>
    <w:rsid w:val="00BD63CF"/>
    <w:rsid w:val="00BD70D2"/>
    <w:rsid w:val="00BD7D7E"/>
    <w:rsid w:val="00BE04B9"/>
    <w:rsid w:val="00BF14E9"/>
    <w:rsid w:val="00BF4C5B"/>
    <w:rsid w:val="00C063A9"/>
    <w:rsid w:val="00C0784B"/>
    <w:rsid w:val="00C11B81"/>
    <w:rsid w:val="00C16742"/>
    <w:rsid w:val="00C17499"/>
    <w:rsid w:val="00C17E13"/>
    <w:rsid w:val="00C20FDF"/>
    <w:rsid w:val="00C2565E"/>
    <w:rsid w:val="00C26BE0"/>
    <w:rsid w:val="00C27C35"/>
    <w:rsid w:val="00C27C5E"/>
    <w:rsid w:val="00C36B0F"/>
    <w:rsid w:val="00C40360"/>
    <w:rsid w:val="00C42E5F"/>
    <w:rsid w:val="00C4671B"/>
    <w:rsid w:val="00C5587F"/>
    <w:rsid w:val="00C57397"/>
    <w:rsid w:val="00C627A6"/>
    <w:rsid w:val="00C636C6"/>
    <w:rsid w:val="00C703DC"/>
    <w:rsid w:val="00C71948"/>
    <w:rsid w:val="00C81F9E"/>
    <w:rsid w:val="00C87E99"/>
    <w:rsid w:val="00C92FBC"/>
    <w:rsid w:val="00C94DD6"/>
    <w:rsid w:val="00C96B00"/>
    <w:rsid w:val="00CA4B04"/>
    <w:rsid w:val="00CA4FD9"/>
    <w:rsid w:val="00CA6BBF"/>
    <w:rsid w:val="00CA7EDD"/>
    <w:rsid w:val="00CB1C1F"/>
    <w:rsid w:val="00CB2E5B"/>
    <w:rsid w:val="00CC3407"/>
    <w:rsid w:val="00CC3750"/>
    <w:rsid w:val="00CC59DC"/>
    <w:rsid w:val="00CD1CDE"/>
    <w:rsid w:val="00CD2AB9"/>
    <w:rsid w:val="00CD4D4C"/>
    <w:rsid w:val="00CE35C8"/>
    <w:rsid w:val="00CE3A6F"/>
    <w:rsid w:val="00CF2953"/>
    <w:rsid w:val="00D00830"/>
    <w:rsid w:val="00D0227F"/>
    <w:rsid w:val="00D02666"/>
    <w:rsid w:val="00D03609"/>
    <w:rsid w:val="00D053C8"/>
    <w:rsid w:val="00D1320E"/>
    <w:rsid w:val="00D15979"/>
    <w:rsid w:val="00D20026"/>
    <w:rsid w:val="00D20F18"/>
    <w:rsid w:val="00D21349"/>
    <w:rsid w:val="00D223BB"/>
    <w:rsid w:val="00D22F89"/>
    <w:rsid w:val="00D249E0"/>
    <w:rsid w:val="00D2535E"/>
    <w:rsid w:val="00D26793"/>
    <w:rsid w:val="00D2782E"/>
    <w:rsid w:val="00D301E4"/>
    <w:rsid w:val="00D338EC"/>
    <w:rsid w:val="00D34289"/>
    <w:rsid w:val="00D35968"/>
    <w:rsid w:val="00D43209"/>
    <w:rsid w:val="00D473C3"/>
    <w:rsid w:val="00D4792C"/>
    <w:rsid w:val="00D4792D"/>
    <w:rsid w:val="00D54AE2"/>
    <w:rsid w:val="00D61D89"/>
    <w:rsid w:val="00D67317"/>
    <w:rsid w:val="00D67E6D"/>
    <w:rsid w:val="00D70048"/>
    <w:rsid w:val="00D73E5B"/>
    <w:rsid w:val="00D77C73"/>
    <w:rsid w:val="00D854A6"/>
    <w:rsid w:val="00D90770"/>
    <w:rsid w:val="00D90FE9"/>
    <w:rsid w:val="00D93D19"/>
    <w:rsid w:val="00D957F9"/>
    <w:rsid w:val="00DA15A1"/>
    <w:rsid w:val="00DA38F2"/>
    <w:rsid w:val="00DA6632"/>
    <w:rsid w:val="00DB0E63"/>
    <w:rsid w:val="00DB2FAE"/>
    <w:rsid w:val="00DB3466"/>
    <w:rsid w:val="00DB70D8"/>
    <w:rsid w:val="00DC6F98"/>
    <w:rsid w:val="00DE062D"/>
    <w:rsid w:val="00DE22C6"/>
    <w:rsid w:val="00DE2339"/>
    <w:rsid w:val="00DE33D3"/>
    <w:rsid w:val="00DE710A"/>
    <w:rsid w:val="00DF5576"/>
    <w:rsid w:val="00DF577C"/>
    <w:rsid w:val="00E01A49"/>
    <w:rsid w:val="00E07BE5"/>
    <w:rsid w:val="00E11C29"/>
    <w:rsid w:val="00E13AE6"/>
    <w:rsid w:val="00E175C9"/>
    <w:rsid w:val="00E203F5"/>
    <w:rsid w:val="00E22B46"/>
    <w:rsid w:val="00E274E1"/>
    <w:rsid w:val="00E41C31"/>
    <w:rsid w:val="00E45A02"/>
    <w:rsid w:val="00E47CFC"/>
    <w:rsid w:val="00E518F3"/>
    <w:rsid w:val="00E575DD"/>
    <w:rsid w:val="00E57684"/>
    <w:rsid w:val="00E57CAE"/>
    <w:rsid w:val="00E61173"/>
    <w:rsid w:val="00E62A73"/>
    <w:rsid w:val="00E63302"/>
    <w:rsid w:val="00E639CF"/>
    <w:rsid w:val="00E70A55"/>
    <w:rsid w:val="00E71222"/>
    <w:rsid w:val="00E7370E"/>
    <w:rsid w:val="00E7501A"/>
    <w:rsid w:val="00E84D3C"/>
    <w:rsid w:val="00E867CE"/>
    <w:rsid w:val="00E9126A"/>
    <w:rsid w:val="00E91FAB"/>
    <w:rsid w:val="00E92308"/>
    <w:rsid w:val="00E92EAE"/>
    <w:rsid w:val="00EA2099"/>
    <w:rsid w:val="00EB3031"/>
    <w:rsid w:val="00EB63E9"/>
    <w:rsid w:val="00EB66F7"/>
    <w:rsid w:val="00EC37D7"/>
    <w:rsid w:val="00EC4686"/>
    <w:rsid w:val="00ED12C7"/>
    <w:rsid w:val="00ED20D5"/>
    <w:rsid w:val="00ED2B7F"/>
    <w:rsid w:val="00ED3992"/>
    <w:rsid w:val="00ED4DFA"/>
    <w:rsid w:val="00EE06D6"/>
    <w:rsid w:val="00EE13E8"/>
    <w:rsid w:val="00EE27DB"/>
    <w:rsid w:val="00EE44C7"/>
    <w:rsid w:val="00EF32E9"/>
    <w:rsid w:val="00EF52C8"/>
    <w:rsid w:val="00F00E49"/>
    <w:rsid w:val="00F10A85"/>
    <w:rsid w:val="00F1205E"/>
    <w:rsid w:val="00F129B1"/>
    <w:rsid w:val="00F15808"/>
    <w:rsid w:val="00F201E9"/>
    <w:rsid w:val="00F23349"/>
    <w:rsid w:val="00F256B7"/>
    <w:rsid w:val="00F32143"/>
    <w:rsid w:val="00F33B32"/>
    <w:rsid w:val="00F370B3"/>
    <w:rsid w:val="00F407A7"/>
    <w:rsid w:val="00F41A66"/>
    <w:rsid w:val="00F44422"/>
    <w:rsid w:val="00F462BD"/>
    <w:rsid w:val="00F57530"/>
    <w:rsid w:val="00F624B1"/>
    <w:rsid w:val="00F73F35"/>
    <w:rsid w:val="00F75FF2"/>
    <w:rsid w:val="00F76C57"/>
    <w:rsid w:val="00F76E22"/>
    <w:rsid w:val="00F936E3"/>
    <w:rsid w:val="00F95180"/>
    <w:rsid w:val="00F953D0"/>
    <w:rsid w:val="00F968DA"/>
    <w:rsid w:val="00F96B3C"/>
    <w:rsid w:val="00F96C02"/>
    <w:rsid w:val="00F96EE4"/>
    <w:rsid w:val="00F97CE2"/>
    <w:rsid w:val="00FA3A13"/>
    <w:rsid w:val="00FB2F5E"/>
    <w:rsid w:val="00FB3650"/>
    <w:rsid w:val="00FB485B"/>
    <w:rsid w:val="00FB6E2C"/>
    <w:rsid w:val="00FC048A"/>
    <w:rsid w:val="00FC0BC4"/>
    <w:rsid w:val="00FC72A4"/>
    <w:rsid w:val="00FC7DB8"/>
    <w:rsid w:val="00FD0C2B"/>
    <w:rsid w:val="00FD30D4"/>
    <w:rsid w:val="00FD4537"/>
    <w:rsid w:val="00FD5D94"/>
    <w:rsid w:val="00FD7765"/>
    <w:rsid w:val="00FE02EE"/>
    <w:rsid w:val="00FE19C7"/>
    <w:rsid w:val="00FE733E"/>
    <w:rsid w:val="00FE7A15"/>
    <w:rsid w:val="00FF0C72"/>
    <w:rsid w:val="00FF19DF"/>
    <w:rsid w:val="00FF4F7D"/>
    <w:rsid w:val="00FF79CA"/>
    <w:rsid w:val="021D5ED4"/>
    <w:rsid w:val="030A5622"/>
    <w:rsid w:val="04486146"/>
    <w:rsid w:val="04546282"/>
    <w:rsid w:val="04DFCB55"/>
    <w:rsid w:val="052175F3"/>
    <w:rsid w:val="052AF671"/>
    <w:rsid w:val="08575B41"/>
    <w:rsid w:val="09F32BA2"/>
    <w:rsid w:val="0A77679B"/>
    <w:rsid w:val="0B7EBD4B"/>
    <w:rsid w:val="0B90B777"/>
    <w:rsid w:val="0CB01687"/>
    <w:rsid w:val="0D2ACC64"/>
    <w:rsid w:val="0E87FD4E"/>
    <w:rsid w:val="0EC85839"/>
    <w:rsid w:val="1028D7EB"/>
    <w:rsid w:val="114FFE63"/>
    <w:rsid w:val="1184A98B"/>
    <w:rsid w:val="11B4DAEE"/>
    <w:rsid w:val="1245DF56"/>
    <w:rsid w:val="13E1AFB7"/>
    <w:rsid w:val="14CB6724"/>
    <w:rsid w:val="16581AAE"/>
    <w:rsid w:val="1824B446"/>
    <w:rsid w:val="1A6A5606"/>
    <w:rsid w:val="1BAD0D53"/>
    <w:rsid w:val="1C585C1E"/>
    <w:rsid w:val="1D298345"/>
    <w:rsid w:val="1DA1F6C8"/>
    <w:rsid w:val="1DEB5088"/>
    <w:rsid w:val="1E43A0AA"/>
    <w:rsid w:val="1E9FC6BD"/>
    <w:rsid w:val="1F3DC729"/>
    <w:rsid w:val="1F4358EA"/>
    <w:rsid w:val="20571761"/>
    <w:rsid w:val="20D9978A"/>
    <w:rsid w:val="2101DCBE"/>
    <w:rsid w:val="217B416C"/>
    <w:rsid w:val="21D2EC3E"/>
    <w:rsid w:val="23F8DA38"/>
    <w:rsid w:val="2411384C"/>
    <w:rsid w:val="24D26E17"/>
    <w:rsid w:val="2553EF99"/>
    <w:rsid w:val="282D80A6"/>
    <w:rsid w:val="28A5F145"/>
    <w:rsid w:val="29832C23"/>
    <w:rsid w:val="29A5DF3A"/>
    <w:rsid w:val="2A0FF3D3"/>
    <w:rsid w:val="2B59F285"/>
    <w:rsid w:val="2BAA08C0"/>
    <w:rsid w:val="2BC6727A"/>
    <w:rsid w:val="2C1B2850"/>
    <w:rsid w:val="2CC4579F"/>
    <w:rsid w:val="2D38E8D5"/>
    <w:rsid w:val="2DCD9A74"/>
    <w:rsid w:val="2E919347"/>
    <w:rsid w:val="2EFE133C"/>
    <w:rsid w:val="2F957D4B"/>
    <w:rsid w:val="3099E39D"/>
    <w:rsid w:val="31713CD6"/>
    <w:rsid w:val="32FCCE7F"/>
    <w:rsid w:val="33D1845F"/>
    <w:rsid w:val="3586C69A"/>
    <w:rsid w:val="37971BC1"/>
    <w:rsid w:val="3861DCA2"/>
    <w:rsid w:val="39D445EE"/>
    <w:rsid w:val="3B8332B8"/>
    <w:rsid w:val="3C9C8294"/>
    <w:rsid w:val="3CB3EF7D"/>
    <w:rsid w:val="3D0BE6B0"/>
    <w:rsid w:val="3D184F1B"/>
    <w:rsid w:val="3EAFA497"/>
    <w:rsid w:val="418760A0"/>
    <w:rsid w:val="4241405D"/>
    <w:rsid w:val="43233101"/>
    <w:rsid w:val="445C766C"/>
    <w:rsid w:val="451EE61B"/>
    <w:rsid w:val="4763E5CB"/>
    <w:rsid w:val="485686DD"/>
    <w:rsid w:val="4ADB854E"/>
    <w:rsid w:val="4CE47431"/>
    <w:rsid w:val="4D1BFE86"/>
    <w:rsid w:val="4D29F800"/>
    <w:rsid w:val="4D7D4F98"/>
    <w:rsid w:val="4DD3274F"/>
    <w:rsid w:val="4E251006"/>
    <w:rsid w:val="4EF71BA5"/>
    <w:rsid w:val="4F5BF8E8"/>
    <w:rsid w:val="4FE88BAC"/>
    <w:rsid w:val="50539F48"/>
    <w:rsid w:val="509A4214"/>
    <w:rsid w:val="510AC811"/>
    <w:rsid w:val="51E440C6"/>
    <w:rsid w:val="5247E4C4"/>
    <w:rsid w:val="52D761A9"/>
    <w:rsid w:val="545B9130"/>
    <w:rsid w:val="55665D29"/>
    <w:rsid w:val="55F76191"/>
    <w:rsid w:val="56D22365"/>
    <w:rsid w:val="57A0DFF9"/>
    <w:rsid w:val="586CAAA7"/>
    <w:rsid w:val="58CFF39B"/>
    <w:rsid w:val="58F64E0D"/>
    <w:rsid w:val="5A39CE4C"/>
    <w:rsid w:val="5B931092"/>
    <w:rsid w:val="5D028581"/>
    <w:rsid w:val="5D2EE0F3"/>
    <w:rsid w:val="5F3F351F"/>
    <w:rsid w:val="60C94DBC"/>
    <w:rsid w:val="61A5AEBA"/>
    <w:rsid w:val="61FA6490"/>
    <w:rsid w:val="62651E1D"/>
    <w:rsid w:val="63589EA8"/>
    <w:rsid w:val="63B07F2F"/>
    <w:rsid w:val="6489F7E4"/>
    <w:rsid w:val="65AE76A3"/>
    <w:rsid w:val="66903F6A"/>
    <w:rsid w:val="670EF655"/>
    <w:rsid w:val="6A64E978"/>
    <w:rsid w:val="6B302746"/>
    <w:rsid w:val="6BA268B7"/>
    <w:rsid w:val="6C96C322"/>
    <w:rsid w:val="6D1211F3"/>
    <w:rsid w:val="6D3E3918"/>
    <w:rsid w:val="6E30DA2A"/>
    <w:rsid w:val="6F5D466F"/>
    <w:rsid w:val="707DC760"/>
    <w:rsid w:val="70C72120"/>
    <w:rsid w:val="72BA775A"/>
    <w:rsid w:val="7529BF14"/>
    <w:rsid w:val="7536EE45"/>
    <w:rsid w:val="75494AFD"/>
    <w:rsid w:val="764C2AC7"/>
    <w:rsid w:val="777BEDF5"/>
    <w:rsid w:val="77951652"/>
    <w:rsid w:val="7E6CB0FB"/>
    <w:rsid w:val="7EB9629F"/>
    <w:rsid w:val="7ECD7A2C"/>
    <w:rsid w:val="7EDEF2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0E0A4F8"/>
  <w15:docId w15:val="{C0A9A01E-C4E6-4063-AAEC-567B2D4091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49E0"/>
    <w:rPr>
      <w:rFonts w:ascii="Calibri" w:eastAsiaTheme="minorHAnsi" w:hAnsi="Calibri" w:cs="Calibri"/>
      <w:sz w:val="22"/>
      <w:szCs w:val="22"/>
    </w:rPr>
  </w:style>
  <w:style w:type="paragraph" w:styleId="Heading1">
    <w:name w:val="heading 1"/>
    <w:basedOn w:val="Normal"/>
    <w:next w:val="PaperBody"/>
    <w:link w:val="Heading1Char"/>
    <w:qFormat/>
    <w:rsid w:val="000B0D18"/>
    <w:pPr>
      <w:widowControl w:val="0"/>
      <w:spacing w:before="240" w:after="120"/>
      <w:outlineLvl w:val="0"/>
    </w:pPr>
    <w:rPr>
      <w:rFonts w:ascii="Verdana" w:eastAsia="Times New Roman" w:hAnsi="Verdana" w:cs="Arial"/>
      <w:b/>
      <w:caps/>
      <w:color w:val="548DD4" w:themeColor="text2" w:themeTint="99"/>
      <w:sz w:val="24"/>
      <w:szCs w:val="20"/>
    </w:rPr>
  </w:style>
  <w:style w:type="paragraph" w:styleId="Heading2">
    <w:name w:val="heading 2"/>
    <w:basedOn w:val="Normal"/>
    <w:next w:val="PaperBody"/>
    <w:link w:val="Heading2Char"/>
    <w:qFormat/>
    <w:rsid w:val="000B0D18"/>
    <w:pPr>
      <w:widowControl w:val="0"/>
      <w:spacing w:before="180" w:after="120"/>
      <w:outlineLvl w:val="1"/>
    </w:pPr>
    <w:rPr>
      <w:rFonts w:ascii="Verdana" w:eastAsia="Times New Roman" w:hAnsi="Verdana" w:cs="Arial"/>
      <w:b/>
      <w:caps/>
      <w:szCs w:val="20"/>
    </w:rPr>
  </w:style>
  <w:style w:type="paragraph" w:styleId="Heading3">
    <w:name w:val="heading 3"/>
    <w:basedOn w:val="Normal"/>
    <w:next w:val="PaperBody"/>
    <w:qFormat/>
    <w:rsid w:val="000B0D18"/>
    <w:pPr>
      <w:keepNext/>
      <w:widowControl w:val="0"/>
      <w:spacing w:before="180" w:after="120"/>
      <w:outlineLvl w:val="2"/>
    </w:pPr>
    <w:rPr>
      <w:rFonts w:ascii="Verdana" w:eastAsia="Times New Roman" w:hAnsi="Verdana" w:cs="Arial"/>
      <w:b/>
      <w:bCs/>
      <w:szCs w:val="26"/>
    </w:rPr>
  </w:style>
  <w:style w:type="paragraph" w:styleId="Heading4">
    <w:name w:val="heading 4"/>
    <w:basedOn w:val="Normal"/>
    <w:next w:val="PaperBody"/>
    <w:qFormat/>
    <w:rsid w:val="000B0D18"/>
    <w:pPr>
      <w:keepNext/>
      <w:widowControl w:val="0"/>
      <w:spacing w:before="120" w:after="120"/>
      <w:outlineLvl w:val="3"/>
    </w:pPr>
    <w:rPr>
      <w:rFonts w:ascii="Verdana" w:eastAsia="Times New Roman" w:hAnsi="Verdana" w:cs="Times New Roman"/>
      <w:b/>
      <w:bCs/>
      <w:i/>
      <w:szCs w:val="28"/>
    </w:rPr>
  </w:style>
  <w:style w:type="paragraph" w:styleId="Heading8">
    <w:name w:val="heading 8"/>
    <w:basedOn w:val="Normal"/>
    <w:next w:val="Normal"/>
    <w:qFormat/>
    <w:rsid w:val="00432E20"/>
    <w:pPr>
      <w:widowControl w:val="0"/>
      <w:spacing w:before="240" w:after="60"/>
      <w:outlineLvl w:val="7"/>
    </w:pPr>
    <w:rPr>
      <w:rFonts w:ascii="Arial" w:eastAsia="Times New Roman" w:hAnsi="Arial" w:cs="Times New Roman"/>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8D22B8"/>
    <w:pPr>
      <w:widowControl w:val="0"/>
      <w:tabs>
        <w:tab w:val="center" w:pos="4320"/>
        <w:tab w:val="right" w:pos="8640"/>
      </w:tabs>
      <w:spacing w:after="120"/>
    </w:pPr>
    <w:rPr>
      <w:rFonts w:ascii="Arial Narrow" w:eastAsia="Times New Roman" w:hAnsi="Arial Narrow" w:cs="Times New Roman"/>
      <w:sz w:val="18"/>
      <w:szCs w:val="20"/>
    </w:rPr>
  </w:style>
  <w:style w:type="paragraph" w:customStyle="1" w:styleId="PaperTitle">
    <w:name w:val="PaperTitle"/>
    <w:basedOn w:val="StylePaperTitleArial12pt"/>
    <w:rsid w:val="00FE19C7"/>
    <w:pPr>
      <w:keepNext/>
    </w:pPr>
  </w:style>
  <w:style w:type="paragraph" w:customStyle="1" w:styleId="PaperAuthor">
    <w:name w:val="PaperAuthor"/>
    <w:basedOn w:val="Normal"/>
    <w:next w:val="PaperBody"/>
    <w:rsid w:val="00CA4B04"/>
    <w:pPr>
      <w:widowControl w:val="0"/>
      <w:spacing w:before="20" w:after="120"/>
      <w:jc w:val="center"/>
    </w:pPr>
    <w:rPr>
      <w:rFonts w:ascii="Helvetica" w:eastAsia="Times New Roman" w:hAnsi="Helvetica" w:cs="Times New Roman"/>
      <w:szCs w:val="20"/>
    </w:rPr>
  </w:style>
  <w:style w:type="paragraph" w:customStyle="1" w:styleId="Style1">
    <w:name w:val="Style1"/>
    <w:basedOn w:val="Normal"/>
    <w:link w:val="Style1Char"/>
    <w:rsid w:val="00CA4B04"/>
    <w:pPr>
      <w:widowControl w:val="0"/>
      <w:spacing w:before="40" w:after="120"/>
    </w:pPr>
    <w:rPr>
      <w:rFonts w:ascii="Arial" w:eastAsia="Times New Roman" w:hAnsi="Arial" w:cs="Times New Roman"/>
      <w:b/>
      <w:sz w:val="18"/>
      <w:szCs w:val="20"/>
    </w:rPr>
  </w:style>
  <w:style w:type="paragraph" w:customStyle="1" w:styleId="PaperHeader1">
    <w:name w:val="PaperHeader1"/>
    <w:basedOn w:val="Style1"/>
    <w:link w:val="PaperHeader1Char"/>
    <w:rsid w:val="00895254"/>
    <w:pPr>
      <w:keepNext/>
      <w:widowControl/>
      <w:spacing w:before="240"/>
    </w:pPr>
    <w:rPr>
      <w:rFonts w:ascii="Helvetica" w:hAnsi="Helvetica"/>
      <w:caps/>
      <w:sz w:val="22"/>
    </w:rPr>
  </w:style>
  <w:style w:type="paragraph" w:customStyle="1" w:styleId="PaperBody">
    <w:name w:val="PaperBody"/>
    <w:basedOn w:val="Normal"/>
    <w:link w:val="PaperBodyChar"/>
    <w:qFormat/>
    <w:rsid w:val="00B464FC"/>
    <w:pPr>
      <w:spacing w:after="120"/>
    </w:pPr>
    <w:rPr>
      <w:rFonts w:ascii="Verdana" w:eastAsia="Times New Roman" w:hAnsi="Verdana" w:cs="Times New Roman"/>
      <w:sz w:val="20"/>
      <w:szCs w:val="20"/>
    </w:rPr>
  </w:style>
  <w:style w:type="paragraph" w:customStyle="1" w:styleId="PaperHeader2">
    <w:name w:val="PaperHeader2"/>
    <w:basedOn w:val="PaperHeader1"/>
    <w:rsid w:val="00A126A2"/>
    <w:pPr>
      <w:spacing w:before="120"/>
    </w:pPr>
    <w:rPr>
      <w:sz w:val="20"/>
    </w:rPr>
  </w:style>
  <w:style w:type="paragraph" w:styleId="Footer">
    <w:name w:val="footer"/>
    <w:basedOn w:val="Normal"/>
    <w:rsid w:val="00CA4B04"/>
    <w:pPr>
      <w:widowControl w:val="0"/>
      <w:tabs>
        <w:tab w:val="center" w:pos="4320"/>
        <w:tab w:val="right" w:pos="8640"/>
      </w:tabs>
      <w:spacing w:after="120"/>
    </w:pPr>
    <w:rPr>
      <w:rFonts w:ascii="Arial" w:eastAsia="Times New Roman" w:hAnsi="Arial" w:cs="Times New Roman"/>
      <w:sz w:val="18"/>
      <w:szCs w:val="20"/>
    </w:rPr>
  </w:style>
  <w:style w:type="character" w:styleId="PageNumber">
    <w:name w:val="page number"/>
    <w:rsid w:val="008D22B8"/>
    <w:rPr>
      <w:rFonts w:ascii="Arial" w:hAnsi="Arial"/>
      <w:sz w:val="18"/>
    </w:rPr>
  </w:style>
  <w:style w:type="character" w:styleId="Emphasis">
    <w:name w:val="Emphasis"/>
    <w:qFormat/>
    <w:rsid w:val="00CA4B04"/>
    <w:rPr>
      <w:i/>
      <w:sz w:val="20"/>
    </w:rPr>
  </w:style>
  <w:style w:type="paragraph" w:customStyle="1" w:styleId="PaperSourceCode">
    <w:name w:val="PaperSourceCode"/>
    <w:basedOn w:val="PaperBody"/>
    <w:rsid w:val="00895254"/>
    <w:pPr>
      <w:spacing w:after="0"/>
      <w:ind w:left="288"/>
    </w:pPr>
    <w:rPr>
      <w:rFonts w:ascii="Courier New" w:hAnsi="Courier New"/>
    </w:rPr>
  </w:style>
  <w:style w:type="paragraph" w:styleId="BalloonText">
    <w:name w:val="Balloon Text"/>
    <w:basedOn w:val="Normal"/>
    <w:semiHidden/>
    <w:rsid w:val="00AD4AAB"/>
    <w:rPr>
      <w:rFonts w:ascii="Tahoma" w:hAnsi="Tahoma" w:cs="Tahoma"/>
      <w:sz w:val="16"/>
      <w:szCs w:val="16"/>
    </w:rPr>
  </w:style>
  <w:style w:type="paragraph" w:customStyle="1" w:styleId="AddressBlock">
    <w:name w:val="AddressBlock"/>
    <w:basedOn w:val="PaperBody"/>
    <w:rsid w:val="00895254"/>
    <w:pPr>
      <w:spacing w:after="0"/>
      <w:ind w:left="432"/>
    </w:pPr>
  </w:style>
  <w:style w:type="character" w:styleId="CommentReference">
    <w:name w:val="annotation reference"/>
    <w:semiHidden/>
    <w:rsid w:val="00AD4AAB"/>
    <w:rPr>
      <w:sz w:val="16"/>
      <w:szCs w:val="16"/>
    </w:rPr>
  </w:style>
  <w:style w:type="paragraph" w:styleId="CommentText">
    <w:name w:val="annotation text"/>
    <w:basedOn w:val="Normal"/>
    <w:semiHidden/>
    <w:rsid w:val="00AD4AAB"/>
    <w:pPr>
      <w:widowControl w:val="0"/>
      <w:spacing w:after="120"/>
    </w:pPr>
    <w:rPr>
      <w:rFonts w:ascii="Tahoma" w:eastAsia="Times New Roman" w:hAnsi="Tahoma" w:cs="Times New Roman"/>
      <w:sz w:val="18"/>
      <w:szCs w:val="20"/>
    </w:rPr>
  </w:style>
  <w:style w:type="paragraph" w:styleId="CommentSubject">
    <w:name w:val="annotation subject"/>
    <w:basedOn w:val="CommentText"/>
    <w:next w:val="CommentText"/>
    <w:semiHidden/>
    <w:rsid w:val="00AD4AAB"/>
    <w:rPr>
      <w:b/>
      <w:bCs/>
    </w:rPr>
  </w:style>
  <w:style w:type="paragraph" w:styleId="ListNumber">
    <w:name w:val="List Number"/>
    <w:basedOn w:val="Normal"/>
    <w:rsid w:val="007F4B5A"/>
    <w:pPr>
      <w:widowControl w:val="0"/>
      <w:numPr>
        <w:numId w:val="13"/>
      </w:numPr>
      <w:spacing w:after="120"/>
    </w:pPr>
    <w:rPr>
      <w:rFonts w:ascii="Arial" w:eastAsia="Times New Roman" w:hAnsi="Arial" w:cs="Times New Roman"/>
      <w:sz w:val="20"/>
      <w:szCs w:val="20"/>
    </w:rPr>
  </w:style>
  <w:style w:type="paragraph" w:styleId="ListBullet">
    <w:name w:val="List Bullet"/>
    <w:basedOn w:val="Normal"/>
    <w:rsid w:val="007F4B5A"/>
    <w:pPr>
      <w:widowControl w:val="0"/>
      <w:numPr>
        <w:numId w:val="1"/>
      </w:numPr>
      <w:spacing w:after="120"/>
    </w:pPr>
    <w:rPr>
      <w:rFonts w:ascii="Arial" w:eastAsia="Times New Roman" w:hAnsi="Arial" w:cs="Times New Roman"/>
      <w:sz w:val="20"/>
      <w:szCs w:val="20"/>
    </w:rPr>
  </w:style>
  <w:style w:type="paragraph" w:customStyle="1" w:styleId="note2author">
    <w:name w:val="note2author"/>
    <w:basedOn w:val="PaperBody"/>
    <w:link w:val="note2authorChar"/>
    <w:qFormat/>
    <w:rsid w:val="00D957F9"/>
    <w:pPr>
      <w:shd w:val="clear" w:color="auto" w:fill="EEECE1" w:themeFill="background2"/>
    </w:pPr>
    <w:rPr>
      <w:rFonts w:ascii="Book Antiqua" w:hAnsi="Book Antiqua" w:cs="Arial"/>
      <w:sz w:val="16"/>
    </w:rPr>
  </w:style>
  <w:style w:type="character" w:customStyle="1" w:styleId="PaperBodyChar">
    <w:name w:val="PaperBody Char"/>
    <w:link w:val="PaperBody"/>
    <w:rsid w:val="00B464FC"/>
    <w:rPr>
      <w:rFonts w:ascii="Verdana" w:hAnsi="Verdana"/>
    </w:rPr>
  </w:style>
  <w:style w:type="character" w:customStyle="1" w:styleId="note2authorChar">
    <w:name w:val="note2author Char"/>
    <w:link w:val="note2author"/>
    <w:rsid w:val="00D957F9"/>
    <w:rPr>
      <w:rFonts w:ascii="Book Antiqua" w:hAnsi="Book Antiqua" w:cs="Arial"/>
      <w:sz w:val="16"/>
      <w:shd w:val="clear" w:color="auto" w:fill="EEECE1" w:themeFill="background2"/>
    </w:rPr>
  </w:style>
  <w:style w:type="character" w:styleId="Hyperlink">
    <w:name w:val="Hyperlink"/>
    <w:uiPriority w:val="99"/>
    <w:rsid w:val="00A126A2"/>
    <w:rPr>
      <w:color w:val="0000FF"/>
      <w:u w:val="single"/>
    </w:rPr>
  </w:style>
  <w:style w:type="paragraph" w:styleId="Caption">
    <w:name w:val="caption"/>
    <w:basedOn w:val="Normal"/>
    <w:next w:val="PaperBody"/>
    <w:qFormat/>
    <w:rsid w:val="007030DF"/>
    <w:pPr>
      <w:widowControl w:val="0"/>
      <w:spacing w:before="60" w:after="120"/>
    </w:pPr>
    <w:rPr>
      <w:rFonts w:ascii="Arial" w:eastAsia="Times New Roman" w:hAnsi="Arial" w:cs="Times New Roman"/>
      <w:b/>
      <w:bCs/>
      <w:sz w:val="20"/>
      <w:szCs w:val="20"/>
    </w:rPr>
  </w:style>
  <w:style w:type="paragraph" w:customStyle="1" w:styleId="Bullet1">
    <w:name w:val="Bullet 1"/>
    <w:basedOn w:val="PaperBody"/>
    <w:qFormat/>
    <w:rsid w:val="00124E40"/>
    <w:pPr>
      <w:numPr>
        <w:numId w:val="8"/>
      </w:numPr>
      <w:spacing w:before="20" w:after="0"/>
      <w:ind w:left="288" w:hanging="144"/>
    </w:pPr>
    <w:rPr>
      <w:rFonts w:cs="Arial"/>
    </w:rPr>
  </w:style>
  <w:style w:type="character" w:styleId="FollowedHyperlink">
    <w:name w:val="FollowedHyperlink"/>
    <w:rsid w:val="00170953"/>
    <w:rPr>
      <w:color w:val="000000" w:themeColor="text1"/>
      <w:u w:val="single"/>
    </w:rPr>
  </w:style>
  <w:style w:type="paragraph" w:customStyle="1" w:styleId="Heading10">
    <w:name w:val="Heading1"/>
    <w:basedOn w:val="PaperHeader1"/>
    <w:link w:val="Heading1Char0"/>
    <w:rsid w:val="00931670"/>
    <w:rPr>
      <w:rFonts w:ascii="Arial" w:hAnsi="Arial" w:cs="Arial"/>
    </w:rPr>
  </w:style>
  <w:style w:type="character" w:customStyle="1" w:styleId="Heading1Char">
    <w:name w:val="Heading 1 Char"/>
    <w:link w:val="Heading1"/>
    <w:rsid w:val="000B0D18"/>
    <w:rPr>
      <w:rFonts w:ascii="Verdana" w:hAnsi="Verdana" w:cs="Arial"/>
      <w:b/>
      <w:caps/>
      <w:color w:val="548DD4" w:themeColor="text2" w:themeTint="99"/>
      <w:sz w:val="24"/>
    </w:rPr>
  </w:style>
  <w:style w:type="character" w:customStyle="1" w:styleId="Style1Char">
    <w:name w:val="Style1 Char"/>
    <w:link w:val="Style1"/>
    <w:rsid w:val="00931670"/>
    <w:rPr>
      <w:rFonts w:ascii="Arial" w:hAnsi="Arial"/>
      <w:b/>
    </w:rPr>
  </w:style>
  <w:style w:type="character" w:customStyle="1" w:styleId="PaperHeader1Char">
    <w:name w:val="PaperHeader1 Char"/>
    <w:link w:val="PaperHeader1"/>
    <w:rsid w:val="00931670"/>
    <w:rPr>
      <w:rFonts w:ascii="Helvetica" w:hAnsi="Helvetica"/>
      <w:b/>
      <w:caps/>
      <w:sz w:val="22"/>
    </w:rPr>
  </w:style>
  <w:style w:type="character" w:customStyle="1" w:styleId="Heading1Char0">
    <w:name w:val="Heading1 Char"/>
    <w:link w:val="Heading10"/>
    <w:rsid w:val="00931670"/>
    <w:rPr>
      <w:rFonts w:ascii="Arial" w:hAnsi="Arial" w:cs="Arial"/>
      <w:b/>
      <w:caps/>
      <w:sz w:val="22"/>
    </w:rPr>
  </w:style>
  <w:style w:type="character" w:customStyle="1" w:styleId="Heading2Char">
    <w:name w:val="Heading 2 Char"/>
    <w:link w:val="Heading2"/>
    <w:rsid w:val="000B0D18"/>
    <w:rPr>
      <w:rFonts w:ascii="Verdana" w:hAnsi="Verdana" w:cs="Arial"/>
      <w:b/>
      <w:caps/>
      <w:sz w:val="22"/>
    </w:rPr>
  </w:style>
  <w:style w:type="table" w:styleId="TableGrid">
    <w:name w:val="Table Grid"/>
    <w:basedOn w:val="TableNormal"/>
    <w:rsid w:val="00860F5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perNumber">
    <w:name w:val="PaperNumber"/>
    <w:basedOn w:val="Normal"/>
    <w:next w:val="PaperBody"/>
    <w:rsid w:val="007A43C1"/>
    <w:pPr>
      <w:widowControl w:val="0"/>
      <w:spacing w:after="60"/>
      <w:jc w:val="center"/>
    </w:pPr>
    <w:rPr>
      <w:rFonts w:ascii="Arial" w:eastAsia="Times New Roman" w:hAnsi="Arial" w:cs="Times New Roman"/>
      <w:b/>
      <w:sz w:val="20"/>
      <w:szCs w:val="20"/>
    </w:rPr>
  </w:style>
  <w:style w:type="paragraph" w:customStyle="1" w:styleId="StylePaperTitleArial12pt">
    <w:name w:val="Style PaperTitle + Arial 12 pt"/>
    <w:basedOn w:val="Normal"/>
    <w:rsid w:val="007A43C1"/>
    <w:pPr>
      <w:widowControl w:val="0"/>
      <w:spacing w:before="100" w:after="60"/>
      <w:jc w:val="center"/>
    </w:pPr>
    <w:rPr>
      <w:rFonts w:ascii="Arial" w:eastAsia="Times New Roman" w:hAnsi="Arial" w:cs="Times New Roman"/>
      <w:b/>
      <w:bCs/>
      <w:sz w:val="26"/>
      <w:szCs w:val="20"/>
    </w:rPr>
  </w:style>
  <w:style w:type="paragraph" w:customStyle="1" w:styleId="StylePaperAuthorArial12ptRight006">
    <w:name w:val="Style PaperAuthor + Arial 12 pt Right:  0.06&quot;"/>
    <w:basedOn w:val="PaperAuthor"/>
    <w:rsid w:val="00D90770"/>
    <w:pPr>
      <w:spacing w:after="360"/>
      <w:ind w:right="86"/>
    </w:pPr>
    <w:rPr>
      <w:rFonts w:ascii="Arial" w:hAnsi="Arial"/>
      <w:sz w:val="24"/>
    </w:rPr>
  </w:style>
  <w:style w:type="paragraph" w:styleId="TOCHeading">
    <w:name w:val="TOC Heading"/>
    <w:basedOn w:val="Heading1"/>
    <w:next w:val="Normal"/>
    <w:uiPriority w:val="39"/>
    <w:semiHidden/>
    <w:unhideWhenUsed/>
    <w:qFormat/>
    <w:rsid w:val="005C2A9F"/>
    <w:pPr>
      <w:keepLines/>
      <w:spacing w:before="480" w:after="0" w:line="276" w:lineRule="auto"/>
      <w:outlineLvl w:val="9"/>
    </w:pPr>
    <w:rPr>
      <w:rFonts w:ascii="Cambria" w:eastAsia="MS Gothic" w:hAnsi="Cambria" w:cs="Times New Roman"/>
      <w:bCs/>
      <w:caps w:val="0"/>
      <w:color w:val="365F91"/>
      <w:sz w:val="28"/>
      <w:szCs w:val="28"/>
      <w:lang w:eastAsia="ja-JP"/>
    </w:rPr>
  </w:style>
  <w:style w:type="paragraph" w:styleId="TOC1">
    <w:name w:val="toc 1"/>
    <w:basedOn w:val="Normal"/>
    <w:next w:val="Normal"/>
    <w:autoRedefine/>
    <w:uiPriority w:val="39"/>
    <w:rsid w:val="005C2A9F"/>
    <w:pPr>
      <w:widowControl w:val="0"/>
      <w:spacing w:after="120"/>
    </w:pPr>
    <w:rPr>
      <w:rFonts w:ascii="Arial" w:eastAsia="Times New Roman" w:hAnsi="Arial" w:cs="Times New Roman"/>
      <w:sz w:val="18"/>
      <w:szCs w:val="20"/>
    </w:rPr>
  </w:style>
  <w:style w:type="paragraph" w:styleId="TOC2">
    <w:name w:val="toc 2"/>
    <w:basedOn w:val="Normal"/>
    <w:next w:val="Normal"/>
    <w:autoRedefine/>
    <w:uiPriority w:val="39"/>
    <w:rsid w:val="005C2A9F"/>
    <w:pPr>
      <w:widowControl w:val="0"/>
      <w:spacing w:after="120"/>
      <w:ind w:left="180"/>
    </w:pPr>
    <w:rPr>
      <w:rFonts w:ascii="Arial" w:eastAsia="Times New Roman" w:hAnsi="Arial" w:cs="Times New Roman"/>
      <w:sz w:val="18"/>
      <w:szCs w:val="20"/>
    </w:rPr>
  </w:style>
  <w:style w:type="paragraph" w:styleId="TOC3">
    <w:name w:val="toc 3"/>
    <w:basedOn w:val="Normal"/>
    <w:next w:val="Normal"/>
    <w:autoRedefine/>
    <w:uiPriority w:val="39"/>
    <w:rsid w:val="005C2A9F"/>
    <w:pPr>
      <w:widowControl w:val="0"/>
      <w:spacing w:after="120"/>
      <w:ind w:left="360"/>
    </w:pPr>
    <w:rPr>
      <w:rFonts w:ascii="Arial" w:eastAsia="Times New Roman" w:hAnsi="Arial" w:cs="Times New Roman"/>
      <w:sz w:val="18"/>
      <w:szCs w:val="20"/>
    </w:rPr>
  </w:style>
  <w:style w:type="paragraph" w:styleId="BodyTextIndent">
    <w:name w:val="Body Text Indent"/>
    <w:basedOn w:val="Normal"/>
    <w:link w:val="BodyTextIndentChar"/>
    <w:rsid w:val="00D77C73"/>
    <w:pPr>
      <w:widowControl w:val="0"/>
      <w:spacing w:after="120"/>
      <w:ind w:left="360"/>
    </w:pPr>
    <w:rPr>
      <w:rFonts w:ascii="Arial" w:eastAsia="Times New Roman" w:hAnsi="Arial" w:cs="Times New Roman"/>
      <w:sz w:val="18"/>
      <w:szCs w:val="20"/>
    </w:rPr>
  </w:style>
  <w:style w:type="character" w:customStyle="1" w:styleId="BodyTextIndentChar">
    <w:name w:val="Body Text Indent Char"/>
    <w:link w:val="BodyTextIndent"/>
    <w:rsid w:val="00D77C73"/>
    <w:rPr>
      <w:rFonts w:ascii="Arial" w:hAnsi="Arial"/>
      <w:sz w:val="18"/>
    </w:rPr>
  </w:style>
  <w:style w:type="paragraph" w:styleId="BodyText">
    <w:name w:val="Body Text"/>
    <w:basedOn w:val="Normal"/>
    <w:link w:val="BodyTextChar"/>
    <w:rsid w:val="00D77C73"/>
    <w:pPr>
      <w:widowControl w:val="0"/>
      <w:spacing w:after="120"/>
    </w:pPr>
    <w:rPr>
      <w:rFonts w:ascii="Arial" w:eastAsia="Times New Roman" w:hAnsi="Arial" w:cs="Times New Roman"/>
      <w:sz w:val="18"/>
      <w:szCs w:val="20"/>
    </w:rPr>
  </w:style>
  <w:style w:type="character" w:customStyle="1" w:styleId="BodyTextChar">
    <w:name w:val="Body Text Char"/>
    <w:link w:val="BodyText"/>
    <w:rsid w:val="00D77C73"/>
    <w:rPr>
      <w:rFonts w:ascii="Arial" w:hAnsi="Arial"/>
      <w:sz w:val="18"/>
    </w:rPr>
  </w:style>
  <w:style w:type="paragraph" w:styleId="BodyTextFirstIndent">
    <w:name w:val="Body Text First Indent"/>
    <w:basedOn w:val="BodyText"/>
    <w:link w:val="BodyTextFirstIndentChar"/>
    <w:rsid w:val="00D77C73"/>
    <w:pPr>
      <w:ind w:firstLine="210"/>
    </w:pPr>
  </w:style>
  <w:style w:type="character" w:customStyle="1" w:styleId="BodyTextFirstIndentChar">
    <w:name w:val="Body Text First Indent Char"/>
    <w:link w:val="BodyTextFirstIndent"/>
    <w:rsid w:val="00D77C73"/>
    <w:rPr>
      <w:rFonts w:ascii="Arial" w:hAnsi="Arial"/>
      <w:sz w:val="18"/>
    </w:rPr>
  </w:style>
  <w:style w:type="paragraph" w:customStyle="1" w:styleId="Default">
    <w:name w:val="Default"/>
    <w:rsid w:val="002D309A"/>
    <w:pPr>
      <w:autoSpaceDE w:val="0"/>
      <w:autoSpaceDN w:val="0"/>
      <w:adjustRightInd w:val="0"/>
    </w:pPr>
    <w:rPr>
      <w:rFonts w:ascii="Courier Std" w:hAnsi="Courier Std" w:cs="Courier Std"/>
      <w:color w:val="000000"/>
      <w:sz w:val="24"/>
      <w:szCs w:val="24"/>
    </w:rPr>
  </w:style>
  <w:style w:type="paragraph" w:customStyle="1" w:styleId="StylePaperAuthorArial">
    <w:name w:val="Style PaperAuthor + Arial"/>
    <w:basedOn w:val="Normal"/>
    <w:rsid w:val="007A43C1"/>
    <w:pPr>
      <w:widowControl w:val="0"/>
      <w:spacing w:before="20" w:after="120"/>
      <w:jc w:val="center"/>
    </w:pPr>
    <w:rPr>
      <w:rFonts w:ascii="Arial" w:eastAsia="Times New Roman" w:hAnsi="Arial" w:cs="Times New Roman"/>
      <w:szCs w:val="20"/>
    </w:rPr>
  </w:style>
  <w:style w:type="paragraph" w:customStyle="1" w:styleId="StyleHeading1PatternClearBackground2">
    <w:name w:val="Style Heading 1 + Pattern: Clear (Background 2)"/>
    <w:basedOn w:val="Normal"/>
    <w:rsid w:val="00A6642F"/>
    <w:pPr>
      <w:widowControl w:val="0"/>
      <w:shd w:val="clear" w:color="auto" w:fill="EEECE1" w:themeFill="background2"/>
      <w:spacing w:before="240" w:after="120"/>
    </w:pPr>
    <w:rPr>
      <w:rFonts w:ascii="Arial" w:eastAsia="Times New Roman" w:hAnsi="Arial" w:cs="Times New Roman"/>
      <w:b/>
      <w:bCs/>
      <w:caps/>
      <w:color w:val="548DD4" w:themeColor="text2" w:themeTint="99"/>
      <w:szCs w:val="20"/>
    </w:rPr>
  </w:style>
  <w:style w:type="paragraph" w:customStyle="1" w:styleId="StylePaperBodyItalic">
    <w:name w:val="Style PaperBody + Italic"/>
    <w:basedOn w:val="Normal"/>
    <w:rsid w:val="007F4B5A"/>
    <w:pPr>
      <w:widowControl w:val="0"/>
      <w:spacing w:after="120"/>
    </w:pPr>
    <w:rPr>
      <w:rFonts w:ascii="Arial" w:eastAsia="Times New Roman" w:hAnsi="Arial" w:cs="Times New Roman"/>
      <w:i/>
      <w:iCs/>
      <w:sz w:val="20"/>
      <w:szCs w:val="20"/>
    </w:rPr>
  </w:style>
  <w:style w:type="paragraph" w:customStyle="1" w:styleId="StylePaperBodyItalic1">
    <w:name w:val="Style PaperBody + Italic1"/>
    <w:basedOn w:val="Normal"/>
    <w:rsid w:val="007F4B5A"/>
    <w:pPr>
      <w:widowControl w:val="0"/>
      <w:spacing w:after="120"/>
    </w:pPr>
    <w:rPr>
      <w:rFonts w:ascii="Arial" w:eastAsia="Times New Roman" w:hAnsi="Arial" w:cs="Times New Roman"/>
      <w:i/>
      <w:iCs/>
      <w:sz w:val="20"/>
      <w:szCs w:val="20"/>
    </w:rPr>
  </w:style>
  <w:style w:type="paragraph" w:customStyle="1" w:styleId="StyleBoldBefore1ptAfter2pt">
    <w:name w:val="Style Bold Before:  1 pt After:  2 pt"/>
    <w:basedOn w:val="Normal"/>
    <w:rsid w:val="007030DF"/>
    <w:pPr>
      <w:widowControl w:val="0"/>
      <w:spacing w:before="20" w:after="40"/>
    </w:pPr>
    <w:rPr>
      <w:rFonts w:ascii="Arial" w:eastAsia="Times New Roman" w:hAnsi="Arial" w:cs="Times New Roman"/>
      <w:b/>
      <w:bCs/>
      <w:sz w:val="20"/>
      <w:szCs w:val="20"/>
    </w:rPr>
  </w:style>
  <w:style w:type="paragraph" w:customStyle="1" w:styleId="StyleBefore1ptAfter2pt">
    <w:name w:val="Style Before:  1 pt After:  2 pt"/>
    <w:basedOn w:val="Normal"/>
    <w:rsid w:val="007030DF"/>
    <w:pPr>
      <w:widowControl w:val="0"/>
      <w:spacing w:before="20" w:after="40"/>
    </w:pPr>
    <w:rPr>
      <w:rFonts w:ascii="Arial" w:eastAsia="Times New Roman" w:hAnsi="Arial" w:cs="Times New Roman"/>
      <w:sz w:val="20"/>
      <w:szCs w:val="20"/>
    </w:rPr>
  </w:style>
  <w:style w:type="paragraph" w:customStyle="1" w:styleId="Hyperlink1">
    <w:name w:val="Hyperlink1"/>
    <w:basedOn w:val="note2author"/>
    <w:qFormat/>
    <w:rsid w:val="00170953"/>
    <w:rPr>
      <w:color w:val="000000" w:themeColor="text1"/>
    </w:rPr>
  </w:style>
  <w:style w:type="character" w:customStyle="1" w:styleId="HeaderChar">
    <w:name w:val="Header Char"/>
    <w:basedOn w:val="DefaultParagraphFont"/>
    <w:link w:val="Header"/>
    <w:uiPriority w:val="99"/>
    <w:rsid w:val="008913AC"/>
    <w:rPr>
      <w:rFonts w:ascii="Arial Narrow" w:hAnsi="Arial Narrow"/>
      <w:sz w:val="18"/>
    </w:rPr>
  </w:style>
  <w:style w:type="character" w:styleId="PlaceholderText">
    <w:name w:val="Placeholder Text"/>
    <w:basedOn w:val="DefaultParagraphFont"/>
    <w:uiPriority w:val="99"/>
    <w:semiHidden/>
    <w:rsid w:val="002923BB"/>
    <w:rPr>
      <w:color w:val="808080"/>
    </w:rPr>
  </w:style>
  <w:style w:type="paragraph" w:styleId="Revision">
    <w:name w:val="Revision"/>
    <w:hidden/>
    <w:uiPriority w:val="99"/>
    <w:semiHidden/>
    <w:rsid w:val="002B62AE"/>
    <w:rPr>
      <w:rFonts w:ascii="Calibri" w:eastAsiaTheme="minorHAnsi" w:hAnsi="Calibri" w:cs="Calibri"/>
      <w:sz w:val="22"/>
      <w:szCs w:val="22"/>
    </w:rPr>
  </w:style>
  <w:style w:type="character" w:styleId="UnresolvedMention">
    <w:name w:val="Unresolved Mention"/>
    <w:basedOn w:val="DefaultParagraphFont"/>
    <w:uiPriority w:val="99"/>
    <w:semiHidden/>
    <w:unhideWhenUsed/>
    <w:rsid w:val="001C7839"/>
    <w:rPr>
      <w:color w:val="605E5C"/>
      <w:shd w:val="clear" w:color="auto" w:fill="E1DFDD"/>
    </w:rPr>
  </w:style>
  <w:style w:type="paragraph" w:styleId="ListParagraph">
    <w:name w:val="List Paragraph"/>
    <w:basedOn w:val="Normal"/>
    <w:uiPriority w:val="34"/>
    <w:qFormat/>
    <w:rsid w:val="0088611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310186">
      <w:bodyDiv w:val="1"/>
      <w:marLeft w:val="0"/>
      <w:marRight w:val="0"/>
      <w:marTop w:val="0"/>
      <w:marBottom w:val="0"/>
      <w:divBdr>
        <w:top w:val="none" w:sz="0" w:space="0" w:color="auto"/>
        <w:left w:val="none" w:sz="0" w:space="0" w:color="auto"/>
        <w:bottom w:val="none" w:sz="0" w:space="0" w:color="auto"/>
        <w:right w:val="none" w:sz="0" w:space="0" w:color="auto"/>
      </w:divBdr>
    </w:div>
    <w:div w:id="953752333">
      <w:bodyDiv w:val="1"/>
      <w:marLeft w:val="0"/>
      <w:marRight w:val="0"/>
      <w:marTop w:val="0"/>
      <w:marBottom w:val="0"/>
      <w:divBdr>
        <w:top w:val="none" w:sz="0" w:space="0" w:color="auto"/>
        <w:left w:val="none" w:sz="0" w:space="0" w:color="auto"/>
        <w:bottom w:val="none" w:sz="0" w:space="0" w:color="auto"/>
        <w:right w:val="none" w:sz="0" w:space="0" w:color="auto"/>
      </w:divBdr>
    </w:div>
    <w:div w:id="1107390769">
      <w:bodyDiv w:val="1"/>
      <w:marLeft w:val="0"/>
      <w:marRight w:val="0"/>
      <w:marTop w:val="0"/>
      <w:marBottom w:val="0"/>
      <w:divBdr>
        <w:top w:val="none" w:sz="0" w:space="0" w:color="auto"/>
        <w:left w:val="none" w:sz="0" w:space="0" w:color="auto"/>
        <w:bottom w:val="none" w:sz="0" w:space="0" w:color="auto"/>
        <w:right w:val="none" w:sz="0" w:space="0" w:color="auto"/>
      </w:divBdr>
    </w:div>
    <w:div w:id="1736664280">
      <w:bodyDiv w:val="1"/>
      <w:marLeft w:val="0"/>
      <w:marRight w:val="0"/>
      <w:marTop w:val="0"/>
      <w:marBottom w:val="0"/>
      <w:divBdr>
        <w:top w:val="none" w:sz="0" w:space="0" w:color="auto"/>
        <w:left w:val="none" w:sz="0" w:space="0" w:color="auto"/>
        <w:bottom w:val="none" w:sz="0" w:space="0" w:color="auto"/>
        <w:right w:val="none" w:sz="0" w:space="0" w:color="auto"/>
      </w:divBdr>
      <w:divsChild>
        <w:div w:id="1284578999">
          <w:marLeft w:val="0"/>
          <w:marRight w:val="0"/>
          <w:marTop w:val="0"/>
          <w:marBottom w:val="0"/>
          <w:divBdr>
            <w:top w:val="none" w:sz="0" w:space="0" w:color="auto"/>
            <w:left w:val="none" w:sz="0" w:space="0" w:color="auto"/>
            <w:bottom w:val="none" w:sz="0" w:space="0" w:color="auto"/>
            <w:right w:val="none" w:sz="0" w:space="0" w:color="auto"/>
          </w:divBdr>
        </w:div>
      </w:divsChild>
    </w:div>
    <w:div w:id="17874299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tahicks@ku.edu"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osf.io/nk3w5/"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nces.ed.gov/pubsearch/licenses.asp"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graham.rifenbark@uconn.edu"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97ED4A2A8E9EB46A4CE4416233972EE" ma:contentTypeVersion="4" ma:contentTypeDescription="Create a new document." ma:contentTypeScope="" ma:versionID="925b141085a6b4215ac1dfa30f0d4b31">
  <xsd:schema xmlns:xsd="http://www.w3.org/2001/XMLSchema" xmlns:xs="http://www.w3.org/2001/XMLSchema" xmlns:p="http://schemas.microsoft.com/office/2006/metadata/properties" xmlns:ns2="d6691352-4666-47b9-9a45-56c58da75b5f" targetNamespace="http://schemas.microsoft.com/office/2006/metadata/properties" ma:root="true" ma:fieldsID="52241a42c38a8af5957bfc4c318f7215" ns2:_="">
    <xsd:import namespace="d6691352-4666-47b9-9a45-56c58da75b5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691352-4666-47b9-9a45-56c58da75b5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97B33C7-F896-41E8-B865-7A1C8C80A6B2}">
  <ds:schemaRefs>
    <ds:schemaRef ds:uri="http://schemas.microsoft.com/sharepoint/v3/contenttype/forms"/>
  </ds:schemaRefs>
</ds:datastoreItem>
</file>

<file path=customXml/itemProps2.xml><?xml version="1.0" encoding="utf-8"?>
<ds:datastoreItem xmlns:ds="http://schemas.openxmlformats.org/officeDocument/2006/customXml" ds:itemID="{73E46958-F73A-4E3B-AAE4-63DE2E69F2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6691352-4666-47b9-9a45-56c58da75b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A38B100-FB99-45B2-820C-2232C12A81CB}">
  <ds:schemaRefs>
    <ds:schemaRef ds:uri="http://schemas.openxmlformats.org/officeDocument/2006/bibliography"/>
  </ds:schemaRefs>
</ds:datastoreItem>
</file>

<file path=customXml/itemProps4.xml><?xml version="1.0" encoding="utf-8"?>
<ds:datastoreItem xmlns:ds="http://schemas.openxmlformats.org/officeDocument/2006/customXml" ds:itemID="{B05F3211-0EB7-461F-A96A-055DD802003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3836</Words>
  <Characters>21751</Characters>
  <Application>Microsoft Office Word</Application>
  <DocSecurity>4</DocSecurity>
  <Lines>181</Lines>
  <Paragraphs>51</Paragraphs>
  <ScaleCrop>false</ScaleCrop>
  <HeadingPairs>
    <vt:vector size="2" baseType="variant">
      <vt:variant>
        <vt:lpstr>Title</vt:lpstr>
      </vt:variant>
      <vt:variant>
        <vt:i4>1</vt:i4>
      </vt:variant>
    </vt:vector>
  </HeadingPairs>
  <TitlesOfParts>
    <vt:vector size="1" baseType="lpstr">
      <vt:lpstr>SESUG 2020 Paper Title</vt:lpstr>
    </vt:vector>
  </TitlesOfParts>
  <Company/>
  <LinksUpToDate>false</LinksUpToDate>
  <CharactersWithSpaces>25536</CharactersWithSpaces>
  <SharedDoc>false</SharedDoc>
  <HLinks>
    <vt:vector size="24" baseType="variant">
      <vt:variant>
        <vt:i4>3670066</vt:i4>
      </vt:variant>
      <vt:variant>
        <vt:i4>50</vt:i4>
      </vt:variant>
      <vt:variant>
        <vt:i4>0</vt:i4>
      </vt:variant>
      <vt:variant>
        <vt:i4>5</vt:i4>
      </vt:variant>
      <vt:variant>
        <vt:lpwstr>http://support.sas.com/resources/papers/proceedings09/TOC.html</vt:lpwstr>
      </vt:variant>
      <vt:variant>
        <vt:lpwstr/>
      </vt:variant>
      <vt:variant>
        <vt:i4>3735669</vt:i4>
      </vt:variant>
      <vt:variant>
        <vt:i4>47</vt:i4>
      </vt:variant>
      <vt:variant>
        <vt:i4>0</vt:i4>
      </vt:variant>
      <vt:variant>
        <vt:i4>5</vt:i4>
      </vt:variant>
      <vt:variant>
        <vt:lpwstr>http://pubs.amstat.org/page/styleguide</vt:lpwstr>
      </vt:variant>
      <vt:variant>
        <vt:lpwstr/>
      </vt:variant>
      <vt:variant>
        <vt:i4>6029404</vt:i4>
      </vt:variant>
      <vt:variant>
        <vt:i4>44</vt:i4>
      </vt:variant>
      <vt:variant>
        <vt:i4>0</vt:i4>
      </vt:variant>
      <vt:variant>
        <vt:i4>5</vt:i4>
      </vt:variant>
      <vt:variant>
        <vt:lpwstr>http://www.apastyle.org/manual/index.aspx</vt:lpwstr>
      </vt:variant>
      <vt:variant>
        <vt:lpwstr/>
      </vt:variant>
      <vt:variant>
        <vt:i4>7733349</vt:i4>
      </vt:variant>
      <vt:variant>
        <vt:i4>0</vt:i4>
      </vt:variant>
      <vt:variant>
        <vt:i4>0</vt:i4>
      </vt:variant>
      <vt:variant>
        <vt:i4>5</vt:i4>
      </vt:variant>
      <vt:variant>
        <vt:lpwstr>http://sgf2011.confnav.com/sgf2010/web/sessions/search.html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SESUG 2020 Paper Title</dc:title>
  <dc:subject>SESUG 2020</dc:subject>
  <dc:creator>SESUG Author(s)</dc:creator>
  <cp:keywords>Keyword1, Keyword2, etc.</cp:keywords>
  <cp:lastModifiedBy>Hicks, Tyler Aaron</cp:lastModifiedBy>
  <cp:revision>2</cp:revision>
  <cp:lastPrinted>2014-08-01T19:07:00Z</cp:lastPrinted>
  <dcterms:created xsi:type="dcterms:W3CDTF">2022-09-21T03:18:00Z</dcterms:created>
  <dcterms:modified xsi:type="dcterms:W3CDTF">2022-09-21T03:18:00Z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0x010100A97ED4A2A8E9EB46A4CE4416233972EE</vt:lpwstr>
  </property>
</Properties>
</file>